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CAA5D" w14:textId="19346B90" w:rsidR="00CA2AB9" w:rsidRDefault="00886E62" w:rsidP="008B3377">
      <w:pPr>
        <w:jc w:val="center"/>
        <w:rPr>
          <w:b/>
          <w:bCs/>
        </w:rPr>
      </w:pPr>
      <w:r>
        <w:rPr>
          <w:b/>
          <w:bCs/>
        </w:rPr>
        <w:t>February 20, 2024</w:t>
      </w:r>
    </w:p>
    <w:p w14:paraId="37CCE8E5" w14:textId="4B0F6C5D" w:rsidR="008B3377" w:rsidRPr="00ED5F8D" w:rsidRDefault="008B3377" w:rsidP="008B3377">
      <w:pPr>
        <w:jc w:val="center"/>
        <w:rPr>
          <w:rFonts w:cstheme="minorHAnsi"/>
          <w:b/>
          <w:bCs/>
        </w:rPr>
      </w:pPr>
    </w:p>
    <w:p w14:paraId="0ED474B9" w14:textId="1C883160" w:rsidR="00F554D4" w:rsidRPr="00ED5F8D" w:rsidRDefault="00F554D4" w:rsidP="00F554D4">
      <w:pPr>
        <w:rPr>
          <w:rFonts w:eastAsia="Times New Roman" w:cstheme="minorHAnsi"/>
          <w:color w:val="212121"/>
        </w:rPr>
      </w:pPr>
      <w:r w:rsidRPr="00ED5F8D">
        <w:rPr>
          <w:rFonts w:eastAsia="Times New Roman" w:cstheme="minorHAnsi"/>
          <w:color w:val="212121"/>
        </w:rPr>
        <w:t xml:space="preserve">Chair </w:t>
      </w:r>
      <w:r w:rsidR="00213998" w:rsidRPr="00ED5F8D">
        <w:rPr>
          <w:rFonts w:eastAsia="Times New Roman" w:cstheme="minorHAnsi"/>
          <w:color w:val="212121"/>
        </w:rPr>
        <w:t>Zack Stephenson</w:t>
      </w:r>
    </w:p>
    <w:p w14:paraId="605EA62B" w14:textId="16AEA83F" w:rsidR="00927141" w:rsidRPr="00ED5F8D" w:rsidRDefault="00927141" w:rsidP="00F554D4">
      <w:pPr>
        <w:rPr>
          <w:rFonts w:eastAsia="Times New Roman" w:cstheme="minorHAnsi"/>
          <w:color w:val="212121"/>
        </w:rPr>
      </w:pPr>
      <w:r w:rsidRPr="00ED5F8D">
        <w:rPr>
          <w:rFonts w:eastAsia="Times New Roman" w:cstheme="minorHAnsi"/>
          <w:color w:val="212121"/>
        </w:rPr>
        <w:t xml:space="preserve">Vice Chair </w:t>
      </w:r>
      <w:r w:rsidR="00213998" w:rsidRPr="00ED5F8D">
        <w:rPr>
          <w:rFonts w:eastAsia="Times New Roman" w:cstheme="minorHAnsi"/>
          <w:color w:val="212121"/>
        </w:rPr>
        <w:t xml:space="preserve">Charlie </w:t>
      </w:r>
      <w:proofErr w:type="spellStart"/>
      <w:r w:rsidR="00213998" w:rsidRPr="00ED5F8D">
        <w:rPr>
          <w:rFonts w:eastAsia="Times New Roman" w:cstheme="minorHAnsi"/>
          <w:color w:val="212121"/>
        </w:rPr>
        <w:t>Kotyza-Witthuhn</w:t>
      </w:r>
      <w:proofErr w:type="spellEnd"/>
    </w:p>
    <w:p w14:paraId="428C700D" w14:textId="6FE958EA" w:rsidR="00927141" w:rsidRPr="00ED5F8D" w:rsidRDefault="00F554D4" w:rsidP="008B3377">
      <w:pPr>
        <w:rPr>
          <w:rFonts w:eastAsia="Times New Roman" w:cstheme="minorHAnsi"/>
          <w:color w:val="212121"/>
        </w:rPr>
      </w:pPr>
      <w:r w:rsidRPr="00ED5F8D">
        <w:rPr>
          <w:rFonts w:eastAsia="Times New Roman" w:cstheme="minorHAnsi"/>
          <w:color w:val="212121"/>
        </w:rPr>
        <w:t xml:space="preserve">Committee on </w:t>
      </w:r>
      <w:r w:rsidR="00213998" w:rsidRPr="00ED5F8D">
        <w:rPr>
          <w:rFonts w:eastAsia="Times New Roman" w:cstheme="minorHAnsi"/>
          <w:color w:val="212121"/>
        </w:rPr>
        <w:t>Commerce Finance and Policy</w:t>
      </w:r>
      <w:r w:rsidR="00213998" w:rsidRPr="00ED5F8D">
        <w:rPr>
          <w:rFonts w:eastAsia="Times New Roman" w:cstheme="minorHAnsi"/>
          <w:color w:val="212121"/>
        </w:rPr>
        <w:br/>
        <w:t>75 Rev. Dr. Martin Luther King, Jr. Blvd.</w:t>
      </w:r>
      <w:r w:rsidR="00213998" w:rsidRPr="00ED5F8D">
        <w:rPr>
          <w:rFonts w:eastAsia="Times New Roman" w:cstheme="minorHAnsi"/>
          <w:color w:val="212121"/>
        </w:rPr>
        <w:br/>
        <w:t>Saint Paul, MN 55155</w:t>
      </w:r>
    </w:p>
    <w:p w14:paraId="6896D26A" w14:textId="77777777" w:rsidR="00213998" w:rsidRPr="00ED5F8D" w:rsidRDefault="00213998" w:rsidP="008B3377">
      <w:pPr>
        <w:rPr>
          <w:rFonts w:cstheme="minorHAnsi"/>
        </w:rPr>
      </w:pPr>
    </w:p>
    <w:p w14:paraId="63670740" w14:textId="460099A0" w:rsidR="008B3377" w:rsidRPr="00ED5F8D" w:rsidRDefault="008B3377" w:rsidP="008B3377">
      <w:pPr>
        <w:rPr>
          <w:rFonts w:cstheme="minorHAnsi"/>
          <w:b/>
          <w:bCs/>
          <w:u w:val="single"/>
        </w:rPr>
      </w:pPr>
      <w:r w:rsidRPr="00ED5F8D">
        <w:rPr>
          <w:rFonts w:cstheme="minorHAnsi"/>
          <w:b/>
          <w:bCs/>
        </w:rPr>
        <w:t>Re:</w:t>
      </w:r>
      <w:r w:rsidRPr="00ED5F8D">
        <w:rPr>
          <w:rFonts w:cstheme="minorHAnsi"/>
          <w:b/>
          <w:bCs/>
        </w:rPr>
        <w:tab/>
      </w:r>
      <w:r w:rsidR="009F163D" w:rsidRPr="00ED5F8D">
        <w:rPr>
          <w:rFonts w:cstheme="minorHAnsi"/>
          <w:b/>
          <w:bCs/>
          <w:u w:val="single"/>
        </w:rPr>
        <w:t>HF 2309</w:t>
      </w:r>
      <w:r w:rsidRPr="00ED5F8D">
        <w:rPr>
          <w:rFonts w:cstheme="minorHAnsi"/>
          <w:b/>
          <w:bCs/>
          <w:u w:val="single"/>
        </w:rPr>
        <w:t xml:space="preserve"> – (</w:t>
      </w:r>
      <w:r w:rsidR="00D30D4B" w:rsidRPr="00ED5F8D">
        <w:rPr>
          <w:rFonts w:cstheme="minorHAnsi"/>
          <w:b/>
          <w:bCs/>
          <w:u w:val="single"/>
        </w:rPr>
        <w:t>Omnibus</w:t>
      </w:r>
      <w:r w:rsidRPr="00ED5F8D">
        <w:rPr>
          <w:rFonts w:cstheme="minorHAnsi"/>
          <w:b/>
          <w:bCs/>
          <w:u w:val="single"/>
        </w:rPr>
        <w:t>)</w:t>
      </w:r>
    </w:p>
    <w:p w14:paraId="1B722200" w14:textId="26590F96" w:rsidR="008B3377" w:rsidRPr="00ED5F8D" w:rsidRDefault="008B3377" w:rsidP="008B3377">
      <w:pPr>
        <w:rPr>
          <w:rFonts w:cstheme="minorHAnsi"/>
          <w:b/>
          <w:bCs/>
          <w:u w:val="single"/>
        </w:rPr>
      </w:pPr>
    </w:p>
    <w:p w14:paraId="014D1C0C" w14:textId="3BD86B29" w:rsidR="008B3377" w:rsidRPr="00ED5F8D" w:rsidRDefault="008B3377" w:rsidP="008B3377">
      <w:pPr>
        <w:rPr>
          <w:rFonts w:cstheme="minorHAnsi"/>
        </w:rPr>
      </w:pPr>
      <w:r w:rsidRPr="00ED5F8D">
        <w:rPr>
          <w:rFonts w:cstheme="minorHAnsi"/>
        </w:rPr>
        <w:t xml:space="preserve">Dear </w:t>
      </w:r>
      <w:r w:rsidR="00F554D4" w:rsidRPr="00ED5F8D">
        <w:rPr>
          <w:rFonts w:cstheme="minorHAnsi"/>
        </w:rPr>
        <w:t xml:space="preserve">Chair </w:t>
      </w:r>
      <w:r w:rsidR="00213998" w:rsidRPr="00ED5F8D">
        <w:rPr>
          <w:rFonts w:eastAsia="Times New Roman" w:cstheme="minorHAnsi"/>
          <w:color w:val="212121"/>
        </w:rPr>
        <w:t>Stephenson</w:t>
      </w:r>
      <w:r w:rsidR="00F554D4" w:rsidRPr="00ED5F8D">
        <w:rPr>
          <w:rFonts w:cstheme="minorHAnsi"/>
        </w:rPr>
        <w:t xml:space="preserve"> and Vice Chair</w:t>
      </w:r>
      <w:r w:rsidR="00213998" w:rsidRPr="00ED5F8D">
        <w:rPr>
          <w:rFonts w:eastAsia="Times New Roman" w:cstheme="minorHAnsi"/>
          <w:color w:val="212121"/>
        </w:rPr>
        <w:t xml:space="preserve"> </w:t>
      </w:r>
      <w:proofErr w:type="spellStart"/>
      <w:r w:rsidR="00213998" w:rsidRPr="00ED5F8D">
        <w:rPr>
          <w:rFonts w:eastAsia="Times New Roman" w:cstheme="minorHAnsi"/>
          <w:color w:val="212121"/>
        </w:rPr>
        <w:t>Kotyza-Witthuhn</w:t>
      </w:r>
      <w:proofErr w:type="spellEnd"/>
      <w:r w:rsidR="00F554D4" w:rsidRPr="00ED5F8D">
        <w:rPr>
          <w:rFonts w:cstheme="minorHAnsi"/>
        </w:rPr>
        <w:t>,</w:t>
      </w:r>
    </w:p>
    <w:p w14:paraId="10CDCA7A" w14:textId="41DD533B" w:rsidR="008B3377" w:rsidRPr="00ED5F8D" w:rsidRDefault="008B3377" w:rsidP="008B3377">
      <w:pPr>
        <w:rPr>
          <w:rFonts w:cstheme="minorHAnsi"/>
        </w:rPr>
      </w:pPr>
    </w:p>
    <w:p w14:paraId="62CEDF04" w14:textId="78411053" w:rsidR="008B3377" w:rsidRPr="00ED5F8D" w:rsidRDefault="008B3377" w:rsidP="008B3377">
      <w:pPr>
        <w:rPr>
          <w:rFonts w:cstheme="minorHAnsi"/>
        </w:rPr>
      </w:pPr>
      <w:r w:rsidRPr="00ED5F8D">
        <w:rPr>
          <w:rFonts w:cstheme="minorHAnsi"/>
        </w:rPr>
        <w:t>The State Privacy and Security Coalition</w:t>
      </w:r>
      <w:r w:rsidR="00CA0617" w:rsidRPr="00ED5F8D">
        <w:rPr>
          <w:rFonts w:cstheme="minorHAnsi"/>
        </w:rPr>
        <w:t xml:space="preserve"> (SPSC)</w:t>
      </w:r>
      <w:r w:rsidRPr="00ED5F8D">
        <w:rPr>
          <w:rFonts w:cstheme="minorHAnsi"/>
        </w:rPr>
        <w:t xml:space="preserve">, a coalition of over 30 companies and </w:t>
      </w:r>
      <w:r w:rsidR="009F163D" w:rsidRPr="00ED5F8D">
        <w:rPr>
          <w:rFonts w:cstheme="minorHAnsi"/>
        </w:rPr>
        <w:t>six</w:t>
      </w:r>
      <w:r w:rsidRPr="00ED5F8D">
        <w:rPr>
          <w:rFonts w:cstheme="minorHAnsi"/>
        </w:rPr>
        <w:t xml:space="preserve"> trade </w:t>
      </w:r>
      <w:r w:rsidRPr="00F91E1F">
        <w:rPr>
          <w:rFonts w:cstheme="minorHAnsi"/>
        </w:rPr>
        <w:t xml:space="preserve">associations </w:t>
      </w:r>
      <w:r w:rsidR="00F91E1F" w:rsidRPr="00F91E1F">
        <w:rPr>
          <w:rFonts w:cstheme="minorHAnsi"/>
        </w:rPr>
        <w:t xml:space="preserve">in </w:t>
      </w:r>
      <w:r w:rsidRPr="00F91E1F">
        <w:rPr>
          <w:rFonts w:cstheme="minorHAnsi"/>
        </w:rPr>
        <w:t>the retail, telecom, tech, automotive, and payment card sectors</w:t>
      </w:r>
      <w:r w:rsidR="00886E62" w:rsidRPr="00F91E1F">
        <w:rPr>
          <w:rFonts w:cstheme="minorHAnsi"/>
        </w:rPr>
        <w:t>,</w:t>
      </w:r>
      <w:r w:rsidRPr="00F91E1F">
        <w:rPr>
          <w:rFonts w:cstheme="minorHAnsi"/>
        </w:rPr>
        <w:t xml:space="preserve"> writes</w:t>
      </w:r>
      <w:r w:rsidR="00504D29" w:rsidRPr="00F91E1F">
        <w:rPr>
          <w:rFonts w:cstheme="minorHAnsi"/>
        </w:rPr>
        <w:t xml:space="preserve"> </w:t>
      </w:r>
      <w:r w:rsidR="00A6623C" w:rsidRPr="00F91E1F">
        <w:rPr>
          <w:rFonts w:cstheme="minorHAnsi"/>
        </w:rPr>
        <w:t>with</w:t>
      </w:r>
      <w:r w:rsidR="00DA7A3E" w:rsidRPr="00F91E1F">
        <w:rPr>
          <w:rFonts w:cstheme="minorHAnsi"/>
        </w:rPr>
        <w:t xml:space="preserve"> </w:t>
      </w:r>
      <w:r w:rsidR="00A6623C" w:rsidRPr="00F91E1F">
        <w:rPr>
          <w:rFonts w:cstheme="minorHAnsi"/>
        </w:rPr>
        <w:t xml:space="preserve">recommendations to </w:t>
      </w:r>
      <w:r w:rsidR="009F163D" w:rsidRPr="00F91E1F">
        <w:rPr>
          <w:rFonts w:cstheme="minorHAnsi"/>
        </w:rPr>
        <w:t>House Bill 2309</w:t>
      </w:r>
      <w:r w:rsidR="00A6623C" w:rsidRPr="00F91E1F">
        <w:rPr>
          <w:rFonts w:cstheme="minorHAnsi"/>
        </w:rPr>
        <w:t xml:space="preserve">. We </w:t>
      </w:r>
      <w:r w:rsidR="00194BCE" w:rsidRPr="00F91E1F">
        <w:rPr>
          <w:rFonts w:cstheme="minorHAnsi"/>
        </w:rPr>
        <w:t>appreciat</w:t>
      </w:r>
      <w:r w:rsidR="00A6623C" w:rsidRPr="00F91E1F">
        <w:rPr>
          <w:rFonts w:cstheme="minorHAnsi"/>
        </w:rPr>
        <w:t>e</w:t>
      </w:r>
      <w:r w:rsidR="00194BCE" w:rsidRPr="00F91E1F">
        <w:rPr>
          <w:rFonts w:cstheme="minorHAnsi"/>
        </w:rPr>
        <w:t xml:space="preserve"> </w:t>
      </w:r>
      <w:r w:rsidR="00390844" w:rsidRPr="00F91E1F">
        <w:rPr>
          <w:rFonts w:cstheme="minorHAnsi"/>
          <w:color w:val="000000" w:themeColor="text1"/>
        </w:rPr>
        <w:t>that M</w:t>
      </w:r>
      <w:r w:rsidR="009F163D" w:rsidRPr="00F91E1F">
        <w:rPr>
          <w:rFonts w:cstheme="minorHAnsi"/>
          <w:color w:val="000000" w:themeColor="text1"/>
        </w:rPr>
        <w:t>innesota</w:t>
      </w:r>
      <w:r w:rsidR="00390844" w:rsidRPr="00F91E1F">
        <w:rPr>
          <w:rFonts w:cstheme="minorHAnsi"/>
          <w:color w:val="000000" w:themeColor="text1"/>
        </w:rPr>
        <w:t xml:space="preserve"> is taking a comprehensive approach to privacy legislation</w:t>
      </w:r>
      <w:r w:rsidR="00A6623C" w:rsidRPr="00F91E1F">
        <w:rPr>
          <w:rFonts w:cstheme="minorHAnsi"/>
          <w:color w:val="000000" w:themeColor="text1"/>
        </w:rPr>
        <w:t xml:space="preserve"> and</w:t>
      </w:r>
      <w:r w:rsidR="00886E62" w:rsidRPr="00F91E1F">
        <w:rPr>
          <w:rFonts w:cstheme="minorHAnsi"/>
          <w:color w:val="000000" w:themeColor="text1"/>
        </w:rPr>
        <w:t xml:space="preserve"> want to commend the sponsor, Representative Elkins, for a thoughtful and considerate process to moving the bill forward. </w:t>
      </w:r>
      <w:r w:rsidR="00F91E1F" w:rsidRPr="00F91E1F">
        <w:rPr>
          <w:rFonts w:cstheme="minorHAnsi"/>
          <w:color w:val="000000" w:themeColor="text1"/>
        </w:rPr>
        <w:t xml:space="preserve">We </w:t>
      </w:r>
      <w:r w:rsidR="00A6623C" w:rsidRPr="00F91E1F">
        <w:rPr>
          <w:rFonts w:cstheme="minorHAnsi"/>
          <w:color w:val="000000" w:themeColor="text1"/>
        </w:rPr>
        <w:t>respectfully</w:t>
      </w:r>
      <w:r w:rsidR="00A6623C" w:rsidRPr="00ED5F8D">
        <w:rPr>
          <w:rFonts w:cstheme="minorHAnsi"/>
          <w:color w:val="000000" w:themeColor="text1"/>
        </w:rPr>
        <w:t xml:space="preserve"> request consideration of </w:t>
      </w:r>
      <w:r w:rsidR="008E24A2" w:rsidRPr="00ED5F8D">
        <w:rPr>
          <w:rFonts w:cstheme="minorHAnsi"/>
          <w:color w:val="000000" w:themeColor="text1"/>
        </w:rPr>
        <w:t xml:space="preserve">recommendations that </w:t>
      </w:r>
      <w:r w:rsidR="00A6623C" w:rsidRPr="00ED5F8D">
        <w:rPr>
          <w:rFonts w:cstheme="minorHAnsi"/>
        </w:rPr>
        <w:t xml:space="preserve">effectively balance consumer protections in </w:t>
      </w:r>
      <w:r w:rsidR="00DA7A3E" w:rsidRPr="00ED5F8D">
        <w:rPr>
          <w:rFonts w:cstheme="minorHAnsi"/>
          <w:color w:val="000000" w:themeColor="text1"/>
        </w:rPr>
        <w:t>Minnesota</w:t>
      </w:r>
      <w:r w:rsidR="00A6623C" w:rsidRPr="00ED5F8D">
        <w:rPr>
          <w:rFonts w:cstheme="minorHAnsi"/>
        </w:rPr>
        <w:t xml:space="preserve"> with implementation and compliance by the business community.</w:t>
      </w:r>
    </w:p>
    <w:p w14:paraId="7D5A21B2" w14:textId="05CBB662" w:rsidR="008B3377" w:rsidRPr="00ED5F8D" w:rsidRDefault="008B3377" w:rsidP="008B3377">
      <w:pPr>
        <w:rPr>
          <w:rFonts w:cstheme="minorHAnsi"/>
        </w:rPr>
      </w:pPr>
    </w:p>
    <w:p w14:paraId="1831FCC4" w14:textId="7E697E0F" w:rsidR="005F37BE" w:rsidRDefault="00390844" w:rsidP="008B3377">
      <w:pPr>
        <w:rPr>
          <w:rFonts w:cstheme="minorHAnsi"/>
          <w:color w:val="000000" w:themeColor="text1"/>
        </w:rPr>
      </w:pPr>
      <w:r w:rsidRPr="00ED5F8D">
        <w:rPr>
          <w:rFonts w:cstheme="minorHAnsi"/>
          <w:color w:val="000000" w:themeColor="text1"/>
        </w:rPr>
        <w:t xml:space="preserve">Broadly speaking, we believe that the best approach for state privacy legislation is that which works within the bounds of the </w:t>
      </w:r>
      <w:r w:rsidR="00886E62">
        <w:rPr>
          <w:rFonts w:cstheme="minorHAnsi"/>
          <w:color w:val="000000" w:themeColor="text1"/>
        </w:rPr>
        <w:t xml:space="preserve">original Washington Privacy Act </w:t>
      </w:r>
      <w:r w:rsidRPr="00ED5F8D">
        <w:rPr>
          <w:rFonts w:cstheme="minorHAnsi"/>
          <w:color w:val="000000" w:themeColor="text1"/>
        </w:rPr>
        <w:t xml:space="preserve">framework, which has been adopted by </w:t>
      </w:r>
      <w:r w:rsidR="00886E62">
        <w:rPr>
          <w:rFonts w:cstheme="minorHAnsi"/>
          <w:color w:val="000000" w:themeColor="text1"/>
        </w:rPr>
        <w:t>thirteen</w:t>
      </w:r>
      <w:r w:rsidRPr="00ED5F8D">
        <w:rPr>
          <w:rFonts w:cstheme="minorHAnsi"/>
          <w:color w:val="000000" w:themeColor="text1"/>
        </w:rPr>
        <w:t xml:space="preserve"> states on a bipartisan basis, and now covers nearly 30% of the US population. Any further changes should </w:t>
      </w:r>
      <w:r w:rsidR="000C1533">
        <w:rPr>
          <w:rFonts w:cstheme="minorHAnsi"/>
          <w:color w:val="000000" w:themeColor="text1"/>
        </w:rPr>
        <w:t xml:space="preserve">strive to </w:t>
      </w:r>
      <w:r w:rsidRPr="00ED5F8D">
        <w:rPr>
          <w:rFonts w:cstheme="minorHAnsi"/>
          <w:color w:val="000000" w:themeColor="text1"/>
        </w:rPr>
        <w:t xml:space="preserve">remain within this framework, both because we believe it provides the best approach </w:t>
      </w:r>
      <w:r w:rsidR="00F91E1F">
        <w:rPr>
          <w:rFonts w:cstheme="minorHAnsi"/>
          <w:color w:val="000000" w:themeColor="text1"/>
        </w:rPr>
        <w:t xml:space="preserve">for consumers </w:t>
      </w:r>
      <w:proofErr w:type="gramStart"/>
      <w:r w:rsidRPr="00ED5F8D">
        <w:rPr>
          <w:rFonts w:cstheme="minorHAnsi"/>
          <w:color w:val="000000" w:themeColor="text1"/>
        </w:rPr>
        <w:t>and also</w:t>
      </w:r>
      <w:proofErr w:type="gramEnd"/>
      <w:r w:rsidRPr="00ED5F8D">
        <w:rPr>
          <w:rFonts w:cstheme="minorHAnsi"/>
          <w:color w:val="000000" w:themeColor="text1"/>
        </w:rPr>
        <w:t xml:space="preserve"> because it is interoperable with the numerous other states that have adopted </w:t>
      </w:r>
      <w:r w:rsidR="00F91E1F">
        <w:rPr>
          <w:rFonts w:cstheme="minorHAnsi"/>
          <w:color w:val="000000" w:themeColor="text1"/>
        </w:rPr>
        <w:t>this comprehensive privacy</w:t>
      </w:r>
      <w:r w:rsidR="00F91E1F" w:rsidRPr="00ED5F8D">
        <w:rPr>
          <w:rFonts w:cstheme="minorHAnsi"/>
          <w:color w:val="000000" w:themeColor="text1"/>
        </w:rPr>
        <w:t xml:space="preserve"> </w:t>
      </w:r>
      <w:r w:rsidRPr="00ED5F8D">
        <w:rPr>
          <w:rFonts w:cstheme="minorHAnsi"/>
          <w:color w:val="000000" w:themeColor="text1"/>
        </w:rPr>
        <w:t>framework.</w:t>
      </w:r>
    </w:p>
    <w:p w14:paraId="7C9E2226" w14:textId="03AE026F" w:rsidR="00886E62" w:rsidRDefault="00886E62" w:rsidP="008B3377">
      <w:pPr>
        <w:rPr>
          <w:rFonts w:cstheme="minorHAnsi"/>
          <w:color w:val="000000" w:themeColor="text1"/>
        </w:rPr>
      </w:pPr>
    </w:p>
    <w:p w14:paraId="269F7343" w14:textId="1FD0E342" w:rsidR="00886E62" w:rsidRPr="00ED5F8D" w:rsidRDefault="00886E62" w:rsidP="008B3377">
      <w:pPr>
        <w:rPr>
          <w:rFonts w:cstheme="minorHAnsi"/>
          <w:color w:val="000000" w:themeColor="text1"/>
        </w:rPr>
      </w:pPr>
      <w:r>
        <w:rPr>
          <w:rFonts w:cstheme="minorHAnsi"/>
          <w:color w:val="000000" w:themeColor="text1"/>
        </w:rPr>
        <w:t>We understand that there are amendments coming to the bill that may address some of our concerns, but wanted to flag the following as issues to focus on as the bill advances.</w:t>
      </w:r>
    </w:p>
    <w:p w14:paraId="566337D8" w14:textId="77777777" w:rsidR="008F2C76" w:rsidRDefault="008F2C76" w:rsidP="008B3377">
      <w:pPr>
        <w:rPr>
          <w:rFonts w:cstheme="minorHAnsi"/>
          <w:color w:val="000000" w:themeColor="text1"/>
        </w:rPr>
      </w:pPr>
    </w:p>
    <w:p w14:paraId="5DF15751" w14:textId="71DBAD43" w:rsidR="00886E62" w:rsidRPr="00886E62" w:rsidRDefault="00F91E1F" w:rsidP="008B3377">
      <w:pPr>
        <w:rPr>
          <w:rFonts w:cstheme="minorHAnsi"/>
          <w:b/>
          <w:bCs/>
          <w:color w:val="212121"/>
          <w:u w:val="single"/>
        </w:rPr>
      </w:pPr>
      <w:r>
        <w:rPr>
          <w:rFonts w:cstheme="minorHAnsi"/>
          <w:b/>
          <w:bCs/>
          <w:color w:val="000000" w:themeColor="text1"/>
          <w:u w:val="single"/>
        </w:rPr>
        <w:t>Ensuring</w:t>
      </w:r>
      <w:r w:rsidR="00886E62">
        <w:rPr>
          <w:rFonts w:cstheme="minorHAnsi"/>
          <w:b/>
          <w:bCs/>
          <w:color w:val="000000" w:themeColor="text1"/>
          <w:u w:val="single"/>
        </w:rPr>
        <w:t xml:space="preserve"> Data Protection Assessment Interoperability</w:t>
      </w:r>
    </w:p>
    <w:p w14:paraId="01D4A3D7" w14:textId="77777777" w:rsidR="00F91E1F" w:rsidRDefault="008A25ED" w:rsidP="00886E62">
      <w:pPr>
        <w:rPr>
          <w:rFonts w:cstheme="minorHAnsi"/>
          <w:color w:val="212121"/>
        </w:rPr>
      </w:pPr>
      <w:r>
        <w:rPr>
          <w:rFonts w:cstheme="minorHAnsi"/>
          <w:color w:val="000000" w:themeColor="text1"/>
        </w:rPr>
        <w:t xml:space="preserve">Data protection assessments (DPAs) are time-intensive endeavors that require businesses to expend a significant </w:t>
      </w:r>
      <w:proofErr w:type="gramStart"/>
      <w:r>
        <w:rPr>
          <w:rFonts w:cstheme="minorHAnsi"/>
          <w:color w:val="000000" w:themeColor="text1"/>
        </w:rPr>
        <w:t>amount</w:t>
      </w:r>
      <w:proofErr w:type="gramEnd"/>
      <w:r>
        <w:rPr>
          <w:rFonts w:cstheme="minorHAnsi"/>
          <w:color w:val="000000" w:themeColor="text1"/>
        </w:rPr>
        <w:t xml:space="preserve"> of resources across all business units</w:t>
      </w:r>
      <w:r w:rsidR="00886E62">
        <w:rPr>
          <w:rFonts w:cstheme="minorHAnsi"/>
          <w:color w:val="000000" w:themeColor="text1"/>
        </w:rPr>
        <w:t xml:space="preserve"> to weigh the risks and benefits of particular processing activities</w:t>
      </w:r>
      <w:r>
        <w:rPr>
          <w:rFonts w:cstheme="minorHAnsi"/>
          <w:color w:val="000000" w:themeColor="text1"/>
        </w:rPr>
        <w:t>.</w:t>
      </w:r>
      <w:r w:rsidR="00886E62">
        <w:rPr>
          <w:rFonts w:cstheme="minorHAnsi"/>
          <w:color w:val="000000" w:themeColor="text1"/>
        </w:rPr>
        <w:t xml:space="preserve"> They are not, however, repositories for all data protection or compliance documentation. Currently,</w:t>
      </w:r>
      <w:r>
        <w:rPr>
          <w:rFonts w:cstheme="minorHAnsi"/>
          <w:color w:val="000000" w:themeColor="text1"/>
        </w:rPr>
        <w:t xml:space="preserve"> </w:t>
      </w:r>
      <w:r w:rsidR="00886E62">
        <w:rPr>
          <w:rFonts w:cstheme="minorHAnsi"/>
          <w:color w:val="212121"/>
        </w:rPr>
        <w:t>t</w:t>
      </w:r>
      <w:r w:rsidR="00ED5F8D" w:rsidRPr="00ED5F8D">
        <w:rPr>
          <w:rFonts w:cstheme="minorHAnsi"/>
          <w:color w:val="212121"/>
        </w:rPr>
        <w:t>he</w:t>
      </w:r>
      <w:r w:rsidR="00F91E1F">
        <w:rPr>
          <w:rFonts w:cstheme="minorHAnsi"/>
          <w:color w:val="212121"/>
        </w:rPr>
        <w:t xml:space="preserve"> bill’s</w:t>
      </w:r>
      <w:r w:rsidR="00ED5F8D" w:rsidRPr="00ED5F8D">
        <w:rPr>
          <w:rFonts w:cstheme="minorHAnsi"/>
          <w:color w:val="212121"/>
        </w:rPr>
        <w:t xml:space="preserve"> </w:t>
      </w:r>
      <w:r>
        <w:rPr>
          <w:rFonts w:cstheme="minorHAnsi"/>
          <w:color w:val="212121"/>
        </w:rPr>
        <w:t>DPA</w:t>
      </w:r>
      <w:r w:rsidR="00ED5F8D" w:rsidRPr="00ED5F8D">
        <w:rPr>
          <w:rFonts w:cstheme="minorHAnsi"/>
          <w:color w:val="212121"/>
        </w:rPr>
        <w:t xml:space="preserve"> provision</w:t>
      </w:r>
      <w:r w:rsidR="00886E62">
        <w:rPr>
          <w:rFonts w:cstheme="minorHAnsi"/>
          <w:color w:val="212121"/>
        </w:rPr>
        <w:t>s</w:t>
      </w:r>
      <w:r w:rsidR="00ED5F8D" w:rsidRPr="00ED5F8D">
        <w:rPr>
          <w:rFonts w:cstheme="minorHAnsi"/>
          <w:color w:val="212121"/>
        </w:rPr>
        <w:t xml:space="preserve"> include</w:t>
      </w:r>
      <w:r w:rsidR="00545084">
        <w:rPr>
          <w:rFonts w:cstheme="minorHAnsi"/>
          <w:color w:val="212121"/>
        </w:rPr>
        <w:t xml:space="preserve"> </w:t>
      </w:r>
      <w:r>
        <w:rPr>
          <w:rFonts w:cstheme="minorHAnsi"/>
          <w:color w:val="212121"/>
        </w:rPr>
        <w:t xml:space="preserve">additional requirements that </w:t>
      </w:r>
      <w:r w:rsidR="00F35967">
        <w:rPr>
          <w:rFonts w:cstheme="minorHAnsi"/>
          <w:color w:val="212121"/>
        </w:rPr>
        <w:t xml:space="preserve">go </w:t>
      </w:r>
      <w:r w:rsidR="00886E62">
        <w:rPr>
          <w:rFonts w:cstheme="minorHAnsi"/>
          <w:color w:val="212121"/>
        </w:rPr>
        <w:t xml:space="preserve">well </w:t>
      </w:r>
      <w:r w:rsidR="00F35967">
        <w:rPr>
          <w:rFonts w:cstheme="minorHAnsi"/>
          <w:color w:val="212121"/>
        </w:rPr>
        <w:t xml:space="preserve">beyond the </w:t>
      </w:r>
      <w:r w:rsidR="00886E62">
        <w:rPr>
          <w:rFonts w:cstheme="minorHAnsi"/>
          <w:color w:val="212121"/>
        </w:rPr>
        <w:t xml:space="preserve">WPA framework, and would create interoperability </w:t>
      </w:r>
      <w:r w:rsidR="00000A32">
        <w:rPr>
          <w:rFonts w:cstheme="minorHAnsi"/>
          <w:color w:val="212121"/>
        </w:rPr>
        <w:t xml:space="preserve">difficulties, without </w:t>
      </w:r>
      <w:r w:rsidR="00F91E1F">
        <w:rPr>
          <w:rFonts w:cstheme="minorHAnsi"/>
          <w:color w:val="212121"/>
        </w:rPr>
        <w:t xml:space="preserve">significant </w:t>
      </w:r>
      <w:r w:rsidR="00000A32">
        <w:rPr>
          <w:rFonts w:cstheme="minorHAnsi"/>
          <w:color w:val="212121"/>
        </w:rPr>
        <w:t>corresponding consumer benefits to justify these outlier provisions</w:t>
      </w:r>
      <w:r w:rsidR="00F35967">
        <w:rPr>
          <w:rFonts w:cstheme="minorHAnsi"/>
          <w:color w:val="212121"/>
        </w:rPr>
        <w:t>.</w:t>
      </w:r>
      <w:r w:rsidR="00886E62">
        <w:rPr>
          <w:rFonts w:cstheme="minorHAnsi"/>
          <w:color w:val="212121"/>
        </w:rPr>
        <w:t xml:space="preserve"> </w:t>
      </w:r>
    </w:p>
    <w:p w14:paraId="2F3F98B1" w14:textId="77777777" w:rsidR="00F91E1F" w:rsidRDefault="00F91E1F" w:rsidP="00886E62">
      <w:pPr>
        <w:rPr>
          <w:rFonts w:cstheme="minorHAnsi"/>
          <w:color w:val="212121"/>
        </w:rPr>
      </w:pPr>
    </w:p>
    <w:p w14:paraId="76C2F23F" w14:textId="7E98AB7B" w:rsidR="00ED5F8D" w:rsidRDefault="00886E62" w:rsidP="00886E62">
      <w:pPr>
        <w:rPr>
          <w:rFonts w:cstheme="minorHAnsi"/>
          <w:color w:val="212121"/>
        </w:rPr>
      </w:pPr>
      <w:r>
        <w:rPr>
          <w:rFonts w:cstheme="minorHAnsi"/>
          <w:color w:val="212121"/>
        </w:rPr>
        <w:t>Across the 13 states that have adopted this framework, DPA processes and scope are</w:t>
      </w:r>
      <w:r w:rsidR="00F91E1F">
        <w:rPr>
          <w:rFonts w:cstheme="minorHAnsi"/>
          <w:color w:val="212121"/>
        </w:rPr>
        <w:t xml:space="preserve"> remarkably </w:t>
      </w:r>
      <w:r w:rsidR="00000A32">
        <w:rPr>
          <w:rFonts w:cstheme="minorHAnsi"/>
          <w:color w:val="212121"/>
        </w:rPr>
        <w:t xml:space="preserve">consistent. </w:t>
      </w:r>
      <w:r w:rsidR="00F91E1F">
        <w:rPr>
          <w:rFonts w:cstheme="minorHAnsi"/>
          <w:color w:val="212121"/>
        </w:rPr>
        <w:t>R</w:t>
      </w:r>
      <w:r>
        <w:rPr>
          <w:rFonts w:cstheme="minorHAnsi"/>
          <w:color w:val="212121"/>
        </w:rPr>
        <w:t xml:space="preserve">equiring the inclusion of significantly distinct and unrelated material to the current requirements </w:t>
      </w:r>
      <w:r w:rsidR="00000A32">
        <w:rPr>
          <w:rFonts w:cstheme="minorHAnsi"/>
          <w:color w:val="212121"/>
        </w:rPr>
        <w:t>will have</w:t>
      </w:r>
      <w:r w:rsidR="00F91E1F">
        <w:rPr>
          <w:rFonts w:cstheme="minorHAnsi"/>
          <w:color w:val="212121"/>
        </w:rPr>
        <w:t xml:space="preserve"> a</w:t>
      </w:r>
      <w:r w:rsidR="00000A32">
        <w:rPr>
          <w:rFonts w:cstheme="minorHAnsi"/>
          <w:color w:val="212121"/>
        </w:rPr>
        <w:t xml:space="preserve"> </w:t>
      </w:r>
      <w:r>
        <w:rPr>
          <w:rFonts w:cstheme="minorHAnsi"/>
          <w:color w:val="212121"/>
        </w:rPr>
        <w:t>material</w:t>
      </w:r>
      <w:r w:rsidR="00F91E1F">
        <w:rPr>
          <w:rFonts w:cstheme="minorHAnsi"/>
          <w:color w:val="212121"/>
        </w:rPr>
        <w:t>ly</w:t>
      </w:r>
      <w:r w:rsidR="00000A32">
        <w:rPr>
          <w:rFonts w:cstheme="minorHAnsi"/>
          <w:color w:val="212121"/>
        </w:rPr>
        <w:t xml:space="preserve"> detrimental</w:t>
      </w:r>
      <w:r>
        <w:rPr>
          <w:rFonts w:cstheme="minorHAnsi"/>
          <w:color w:val="212121"/>
        </w:rPr>
        <w:t xml:space="preserve"> impact on interoperability. </w:t>
      </w:r>
      <w:r w:rsidR="00000A32">
        <w:rPr>
          <w:rFonts w:cstheme="minorHAnsi"/>
          <w:color w:val="212121"/>
        </w:rPr>
        <w:t xml:space="preserve">We urge the sponsor to remove these additional requirements. </w:t>
      </w:r>
      <w:r>
        <w:rPr>
          <w:rFonts w:cstheme="minorHAnsi"/>
          <w:color w:val="212121"/>
        </w:rPr>
        <w:t>However,</w:t>
      </w:r>
      <w:r w:rsidR="00000A32">
        <w:rPr>
          <w:rFonts w:cstheme="minorHAnsi"/>
          <w:color w:val="212121"/>
        </w:rPr>
        <w:t xml:space="preserve"> should they remain,</w:t>
      </w:r>
      <w:r>
        <w:rPr>
          <w:rFonts w:cstheme="minorHAnsi"/>
          <w:color w:val="212121"/>
        </w:rPr>
        <w:t xml:space="preserve"> we have offered amendments</w:t>
      </w:r>
      <w:r w:rsidR="00F91E1F">
        <w:rPr>
          <w:rFonts w:cstheme="minorHAnsi"/>
          <w:color w:val="212121"/>
        </w:rPr>
        <w:t xml:space="preserve"> to the sponsor</w:t>
      </w:r>
      <w:r>
        <w:rPr>
          <w:rFonts w:cstheme="minorHAnsi"/>
          <w:color w:val="212121"/>
        </w:rPr>
        <w:t xml:space="preserve"> that would</w:t>
      </w:r>
      <w:r w:rsidR="00F35967">
        <w:rPr>
          <w:rFonts w:cstheme="minorHAnsi"/>
          <w:color w:val="212121"/>
        </w:rPr>
        <w:t xml:space="preserve"> </w:t>
      </w:r>
      <w:r>
        <w:rPr>
          <w:rFonts w:cstheme="minorHAnsi"/>
          <w:color w:val="212121"/>
        </w:rPr>
        <w:t>move</w:t>
      </w:r>
      <w:r w:rsidR="00E04376">
        <w:rPr>
          <w:rFonts w:cstheme="minorHAnsi"/>
          <w:color w:val="000000" w:themeColor="text1"/>
        </w:rPr>
        <w:t xml:space="preserve"> this provision to an addendum of the </w:t>
      </w:r>
      <w:r w:rsidR="00E04376">
        <w:rPr>
          <w:rFonts w:cstheme="minorHAnsi"/>
          <w:color w:val="000000" w:themeColor="text1"/>
        </w:rPr>
        <w:lastRenderedPageBreak/>
        <w:t>DPA</w:t>
      </w:r>
      <w:r w:rsidR="00E04376" w:rsidRPr="00ED5F8D">
        <w:rPr>
          <w:rFonts w:cstheme="minorHAnsi"/>
          <w:color w:val="212121"/>
        </w:rPr>
        <w:t xml:space="preserve"> </w:t>
      </w:r>
      <w:r w:rsidR="00E04376">
        <w:rPr>
          <w:rFonts w:cstheme="minorHAnsi"/>
          <w:color w:val="212121"/>
        </w:rPr>
        <w:t xml:space="preserve">and </w:t>
      </w:r>
      <w:r w:rsidR="00ED5F8D" w:rsidRPr="00ED5F8D">
        <w:rPr>
          <w:rFonts w:cstheme="minorHAnsi"/>
          <w:color w:val="212121"/>
        </w:rPr>
        <w:t>mo</w:t>
      </w:r>
      <w:r w:rsidR="003555CB">
        <w:rPr>
          <w:rFonts w:cstheme="minorHAnsi"/>
          <w:color w:val="212121"/>
        </w:rPr>
        <w:t>difying</w:t>
      </w:r>
      <w:r w:rsidR="00ED5F8D" w:rsidRPr="00ED5F8D">
        <w:rPr>
          <w:rFonts w:cstheme="minorHAnsi"/>
          <w:color w:val="212121"/>
        </w:rPr>
        <w:t xml:space="preserve"> </w:t>
      </w:r>
      <w:r w:rsidR="00F35967" w:rsidRPr="00F65F7B">
        <w:rPr>
          <w:rFonts w:cstheme="minorHAnsi"/>
          <w:color w:val="212121"/>
        </w:rPr>
        <w:t>Sec.9(a)(1)(2)(</w:t>
      </w:r>
      <w:proofErr w:type="spellStart"/>
      <w:r w:rsidR="00F35967" w:rsidRPr="00F65F7B">
        <w:rPr>
          <w:rFonts w:cstheme="minorHAnsi"/>
          <w:color w:val="212121"/>
        </w:rPr>
        <w:t>i</w:t>
      </w:r>
      <w:proofErr w:type="spellEnd"/>
      <w:r w:rsidR="00F35967" w:rsidRPr="00F65F7B">
        <w:rPr>
          <w:rFonts w:cstheme="minorHAnsi"/>
          <w:color w:val="212121"/>
        </w:rPr>
        <w:t>)-(v)</w:t>
      </w:r>
      <w:r w:rsidR="00ED5F8D" w:rsidRPr="00ED5F8D">
        <w:rPr>
          <w:rFonts w:cstheme="minorHAnsi"/>
          <w:color w:val="212121"/>
        </w:rPr>
        <w:t xml:space="preserve"> </w:t>
      </w:r>
      <w:r>
        <w:rPr>
          <w:rFonts w:cstheme="minorHAnsi"/>
          <w:color w:val="212121"/>
        </w:rPr>
        <w:t xml:space="preserve">to more accurately reflect the </w:t>
      </w:r>
      <w:proofErr w:type="gramStart"/>
      <w:r>
        <w:rPr>
          <w:rFonts w:cstheme="minorHAnsi"/>
          <w:color w:val="212121"/>
        </w:rPr>
        <w:t>particular standards</w:t>
      </w:r>
      <w:proofErr w:type="gramEnd"/>
      <w:r>
        <w:rPr>
          <w:rFonts w:cstheme="minorHAnsi"/>
          <w:color w:val="212121"/>
        </w:rPr>
        <w:t xml:space="preserve"> set forth in the rest of the legislation. </w:t>
      </w:r>
    </w:p>
    <w:p w14:paraId="00DC6564" w14:textId="77777777" w:rsidR="00886E62" w:rsidRDefault="00886E62" w:rsidP="00886E62">
      <w:pPr>
        <w:rPr>
          <w:rFonts w:cstheme="minorHAnsi"/>
          <w:color w:val="212121"/>
        </w:rPr>
      </w:pPr>
    </w:p>
    <w:p w14:paraId="4EFE8E70" w14:textId="782862D3" w:rsidR="00886E62" w:rsidRPr="00545084" w:rsidRDefault="00886E62" w:rsidP="00886E62">
      <w:pPr>
        <w:rPr>
          <w:rFonts w:cstheme="minorHAnsi"/>
          <w:color w:val="212121"/>
        </w:rPr>
      </w:pPr>
      <w:r>
        <w:rPr>
          <w:rFonts w:cstheme="minorHAnsi"/>
          <w:color w:val="212121"/>
        </w:rPr>
        <w:t xml:space="preserve">By adopting this approach, HF 2309 can minimize the disruption with other </w:t>
      </w:r>
      <w:r w:rsidR="00F91E1F">
        <w:rPr>
          <w:rFonts w:cstheme="minorHAnsi"/>
          <w:color w:val="212121"/>
        </w:rPr>
        <w:t xml:space="preserve">existing </w:t>
      </w:r>
      <w:r>
        <w:rPr>
          <w:rFonts w:cstheme="minorHAnsi"/>
          <w:color w:val="212121"/>
        </w:rPr>
        <w:t xml:space="preserve">state </w:t>
      </w:r>
      <w:r w:rsidR="00F91E1F">
        <w:rPr>
          <w:rFonts w:cstheme="minorHAnsi"/>
          <w:color w:val="212121"/>
        </w:rPr>
        <w:t xml:space="preserve">privacy law </w:t>
      </w:r>
      <w:r>
        <w:rPr>
          <w:rFonts w:cstheme="minorHAnsi"/>
          <w:color w:val="212121"/>
        </w:rPr>
        <w:t>requirements while still including them in Minnesota’s privacy scheme.</w:t>
      </w:r>
    </w:p>
    <w:p w14:paraId="0C4C742D" w14:textId="081C197B" w:rsidR="00CA0617" w:rsidRDefault="00CA0617" w:rsidP="00F20746">
      <w:pPr>
        <w:rPr>
          <w:rFonts w:cstheme="minorHAnsi"/>
        </w:rPr>
      </w:pPr>
    </w:p>
    <w:p w14:paraId="3C8E2D95" w14:textId="60596BB5" w:rsidR="00886E62" w:rsidRPr="00886E62" w:rsidRDefault="00886E62" w:rsidP="00F20746">
      <w:pPr>
        <w:rPr>
          <w:rFonts w:cstheme="minorHAnsi"/>
          <w:b/>
          <w:bCs/>
          <w:u w:val="single"/>
        </w:rPr>
      </w:pPr>
      <w:r>
        <w:rPr>
          <w:rFonts w:cstheme="minorHAnsi"/>
          <w:b/>
          <w:bCs/>
          <w:u w:val="single"/>
        </w:rPr>
        <w:t>Profiling</w:t>
      </w:r>
    </w:p>
    <w:p w14:paraId="704D19D0" w14:textId="433CB8B5" w:rsidR="00886E62" w:rsidRDefault="008F3787" w:rsidP="00F20746">
      <w:pPr>
        <w:rPr>
          <w:rFonts w:cstheme="minorHAnsi"/>
        </w:rPr>
      </w:pPr>
      <w:r w:rsidRPr="008F3787">
        <w:rPr>
          <w:rFonts w:cstheme="minorHAnsi"/>
        </w:rPr>
        <w:t xml:space="preserve">The </w:t>
      </w:r>
      <w:r w:rsidR="00886E62">
        <w:rPr>
          <w:rFonts w:cstheme="minorHAnsi"/>
        </w:rPr>
        <w:t>R</w:t>
      </w:r>
      <w:r w:rsidRPr="008F3787">
        <w:rPr>
          <w:rFonts w:cstheme="minorHAnsi"/>
        </w:rPr>
        <w:t xml:space="preserve">esponsibilities of </w:t>
      </w:r>
      <w:r w:rsidR="00886E62">
        <w:rPr>
          <w:rFonts w:cstheme="minorHAnsi"/>
        </w:rPr>
        <w:t>C</w:t>
      </w:r>
      <w:r w:rsidRPr="008F3787">
        <w:rPr>
          <w:rFonts w:cstheme="minorHAnsi"/>
        </w:rPr>
        <w:t xml:space="preserve">ontrollers </w:t>
      </w:r>
      <w:r w:rsidR="000C1C81">
        <w:rPr>
          <w:rFonts w:cstheme="minorHAnsi"/>
        </w:rPr>
        <w:t xml:space="preserve">section </w:t>
      </w:r>
      <w:r w:rsidRPr="008F3787">
        <w:rPr>
          <w:rFonts w:cstheme="minorHAnsi"/>
        </w:rPr>
        <w:t>contains a provision that sets forth specific requirements for decisions</w:t>
      </w:r>
      <w:r w:rsidR="00426364">
        <w:rPr>
          <w:rFonts w:cstheme="minorHAnsi"/>
        </w:rPr>
        <w:t xml:space="preserve"> involving profiling</w:t>
      </w:r>
      <w:r w:rsidRPr="008F3787">
        <w:rPr>
          <w:rFonts w:cstheme="minorHAnsi"/>
        </w:rPr>
        <w:t xml:space="preserve">. </w:t>
      </w:r>
      <w:r w:rsidR="00F91E1F">
        <w:rPr>
          <w:rFonts w:cstheme="minorHAnsi"/>
        </w:rPr>
        <w:t xml:space="preserve">Profiling decisions are more likely individualized decisions rather than generalizations. It follows that the requirements of this provision are </w:t>
      </w:r>
      <w:r w:rsidR="00426364">
        <w:rPr>
          <w:rFonts w:cstheme="minorHAnsi"/>
        </w:rPr>
        <w:t xml:space="preserve">best </w:t>
      </w:r>
      <w:r w:rsidR="00F91E1F">
        <w:rPr>
          <w:rFonts w:cstheme="minorHAnsi"/>
        </w:rPr>
        <w:t>addressed</w:t>
      </w:r>
      <w:r w:rsidR="00F91E1F">
        <w:rPr>
          <w:rFonts w:cstheme="minorHAnsi"/>
        </w:rPr>
        <w:t xml:space="preserve"> </w:t>
      </w:r>
      <w:r w:rsidR="00426364">
        <w:rPr>
          <w:rFonts w:cstheme="minorHAnsi"/>
        </w:rPr>
        <w:t>in the appeals section because this section describes</w:t>
      </w:r>
      <w:r>
        <w:rPr>
          <w:rFonts w:cstheme="minorHAnsi"/>
        </w:rPr>
        <w:t xml:space="preserve"> how a consumer may request </w:t>
      </w:r>
      <w:r w:rsidR="00426364">
        <w:rPr>
          <w:rFonts w:cstheme="minorHAnsi"/>
        </w:rPr>
        <w:t>additional</w:t>
      </w:r>
      <w:r>
        <w:rPr>
          <w:rFonts w:cstheme="minorHAnsi"/>
        </w:rPr>
        <w:t xml:space="preserve"> information</w:t>
      </w:r>
      <w:r w:rsidR="00886E62">
        <w:rPr>
          <w:rFonts w:cstheme="minorHAnsi"/>
        </w:rPr>
        <w:t xml:space="preserve"> </w:t>
      </w:r>
      <w:proofErr w:type="gramStart"/>
      <w:r w:rsidR="00426364">
        <w:rPr>
          <w:rFonts w:cstheme="minorHAnsi"/>
        </w:rPr>
        <w:t>in the event that</w:t>
      </w:r>
      <w:proofErr w:type="gramEnd"/>
      <w:r>
        <w:rPr>
          <w:rFonts w:cstheme="minorHAnsi"/>
        </w:rPr>
        <w:t xml:space="preserve"> a consumer rights request is denied. </w:t>
      </w:r>
    </w:p>
    <w:p w14:paraId="552347A3" w14:textId="77777777" w:rsidR="00886E62" w:rsidRDefault="00886E62" w:rsidP="00F20746">
      <w:pPr>
        <w:rPr>
          <w:rFonts w:cstheme="minorHAnsi"/>
        </w:rPr>
      </w:pPr>
    </w:p>
    <w:p w14:paraId="5D4174C2" w14:textId="0B86D75E" w:rsidR="00886E62" w:rsidRDefault="00886E62" w:rsidP="00F20746">
      <w:pPr>
        <w:rPr>
          <w:rFonts w:cstheme="minorHAnsi"/>
        </w:rPr>
      </w:pPr>
      <w:r>
        <w:rPr>
          <w:rFonts w:cstheme="minorHAnsi"/>
        </w:rPr>
        <w:t xml:space="preserve">Again, this is novel language that does not appear in any other state law, and we are offering language to move this to the appeals section </w:t>
      </w:r>
      <w:proofErr w:type="gramStart"/>
      <w:r>
        <w:rPr>
          <w:rFonts w:cstheme="minorHAnsi"/>
        </w:rPr>
        <w:t>in an effort to</w:t>
      </w:r>
      <w:proofErr w:type="gramEnd"/>
      <w:r>
        <w:rPr>
          <w:rFonts w:cstheme="minorHAnsi"/>
        </w:rPr>
        <w:t xml:space="preserve"> reach a fair compromise with the sponsor.</w:t>
      </w:r>
    </w:p>
    <w:p w14:paraId="38117053" w14:textId="77777777" w:rsidR="00F37080" w:rsidRDefault="00F37080" w:rsidP="00886E62">
      <w:pPr>
        <w:rPr>
          <w:rFonts w:cstheme="minorHAnsi"/>
        </w:rPr>
      </w:pPr>
    </w:p>
    <w:p w14:paraId="6E78619B" w14:textId="101F7D38" w:rsidR="000C1533" w:rsidRPr="000C1533" w:rsidRDefault="000C1533" w:rsidP="00886E62">
      <w:pPr>
        <w:rPr>
          <w:rFonts w:cstheme="minorHAnsi"/>
          <w:b/>
          <w:bCs/>
          <w:u w:val="single"/>
        </w:rPr>
      </w:pPr>
      <w:r>
        <w:rPr>
          <w:rFonts w:cstheme="minorHAnsi"/>
          <w:b/>
          <w:bCs/>
          <w:u w:val="single"/>
        </w:rPr>
        <w:t>Clarifying Edits</w:t>
      </w:r>
    </w:p>
    <w:p w14:paraId="3D541D5C" w14:textId="298CBC2F" w:rsidR="00CD0D4E" w:rsidRPr="00ED5F8D" w:rsidRDefault="00426364" w:rsidP="000C1533">
      <w:pPr>
        <w:rPr>
          <w:rFonts w:cstheme="minorHAnsi"/>
        </w:rPr>
      </w:pPr>
      <w:r>
        <w:rPr>
          <w:rFonts w:cstheme="minorHAnsi"/>
        </w:rPr>
        <w:t>W</w:t>
      </w:r>
      <w:r w:rsidR="00E04376">
        <w:rPr>
          <w:rFonts w:cstheme="minorHAnsi"/>
        </w:rPr>
        <w:t>e</w:t>
      </w:r>
      <w:r w:rsidR="003D546B" w:rsidRPr="00ED5F8D">
        <w:rPr>
          <w:rFonts w:cstheme="minorHAnsi"/>
        </w:rPr>
        <w:t xml:space="preserve"> have some </w:t>
      </w:r>
      <w:r w:rsidR="00E04376">
        <w:rPr>
          <w:rFonts w:cstheme="minorHAnsi"/>
        </w:rPr>
        <w:t>final</w:t>
      </w:r>
      <w:r w:rsidR="003D546B" w:rsidRPr="00ED5F8D">
        <w:rPr>
          <w:rFonts w:cstheme="minorHAnsi"/>
        </w:rPr>
        <w:t xml:space="preserve"> suggestions for how to make this bill clearer, which will also have the effect of aligning it more closely with the other states implementing similar laws</w:t>
      </w:r>
      <w:r w:rsidR="000C1533">
        <w:rPr>
          <w:rFonts w:cstheme="minorHAnsi"/>
        </w:rPr>
        <w:t xml:space="preserve">, and we have passed these along to the sponsor in the hopes of continuing to improve this bill. </w:t>
      </w:r>
    </w:p>
    <w:p w14:paraId="5AC8CF0E" w14:textId="77777777" w:rsidR="009F163D" w:rsidRPr="00ED5F8D" w:rsidRDefault="009F163D" w:rsidP="00CA0617">
      <w:pPr>
        <w:rPr>
          <w:rFonts w:cstheme="minorHAnsi"/>
        </w:rPr>
      </w:pPr>
    </w:p>
    <w:p w14:paraId="6CC2F392" w14:textId="7458B941" w:rsidR="00CA0617" w:rsidRPr="00ED5F8D" w:rsidRDefault="000C1533" w:rsidP="008E24A2">
      <w:pPr>
        <w:rPr>
          <w:rFonts w:cstheme="minorHAnsi"/>
        </w:rPr>
      </w:pPr>
      <w:r>
        <w:rPr>
          <w:rFonts w:cstheme="minorHAnsi"/>
        </w:rPr>
        <w:t>Again, we wish to thank the sponsor and believe that Minnesota is closer than ever to enacting a comprehensive privacy law that strikes a reasonable balance between increasing consumer transparency and control</w:t>
      </w:r>
      <w:r w:rsidR="00F91E1F">
        <w:rPr>
          <w:rFonts w:cstheme="minorHAnsi"/>
        </w:rPr>
        <w:t xml:space="preserve"> while</w:t>
      </w:r>
      <w:r>
        <w:rPr>
          <w:rFonts w:cstheme="minorHAnsi"/>
        </w:rPr>
        <w:t xml:space="preserve"> maintaining operational workability for businesses.</w:t>
      </w:r>
    </w:p>
    <w:p w14:paraId="6F939E6E" w14:textId="0D31C8B1" w:rsidR="00CA0617" w:rsidRPr="00ED5F8D" w:rsidRDefault="00CA0617" w:rsidP="00CA0617">
      <w:pPr>
        <w:rPr>
          <w:rFonts w:cstheme="minorHAnsi"/>
        </w:rPr>
      </w:pPr>
    </w:p>
    <w:p w14:paraId="49ECE2FA" w14:textId="25AAC32B" w:rsidR="00CA0617" w:rsidRPr="00ED5F8D" w:rsidRDefault="00CA0617" w:rsidP="00CA0617">
      <w:pPr>
        <w:rPr>
          <w:rFonts w:cstheme="minorHAnsi"/>
        </w:rPr>
      </w:pPr>
      <w:r w:rsidRPr="00ED5F8D">
        <w:rPr>
          <w:rFonts w:cstheme="minorHAnsi"/>
        </w:rPr>
        <w:t xml:space="preserve">Respectfully submitted, </w:t>
      </w:r>
    </w:p>
    <w:p w14:paraId="230E1101" w14:textId="6DAF18AB" w:rsidR="00CA0617" w:rsidRPr="00ED5F8D" w:rsidRDefault="00CA0617" w:rsidP="00CA0617">
      <w:pPr>
        <w:rPr>
          <w:rFonts w:cstheme="minorHAnsi"/>
        </w:rPr>
      </w:pPr>
    </w:p>
    <w:p w14:paraId="715258FF" w14:textId="4C1F806D" w:rsidR="00CA0617" w:rsidRPr="00ED5F8D" w:rsidRDefault="00F91E1F" w:rsidP="00CA0617">
      <w:pPr>
        <w:rPr>
          <w:rFonts w:cstheme="minorHAnsi"/>
        </w:rPr>
      </w:pPr>
      <w:r>
        <w:rPr>
          <w:noProof/>
        </w:rPr>
        <w:drawing>
          <wp:inline distT="0" distB="0" distL="0" distR="0" wp14:anchorId="6F8EB9D9" wp14:editId="517CBB62">
            <wp:extent cx="1481471" cy="449664"/>
            <wp:effectExtent l="0" t="0" r="4445" b="0"/>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7"/>
                    <a:stretch>
                      <a:fillRect/>
                    </a:stretch>
                  </pic:blipFill>
                  <pic:spPr>
                    <a:xfrm>
                      <a:off x="0" y="0"/>
                      <a:ext cx="1597308" cy="484824"/>
                    </a:xfrm>
                    <a:prstGeom prst="rect">
                      <a:avLst/>
                    </a:prstGeom>
                  </pic:spPr>
                </pic:pic>
              </a:graphicData>
            </a:graphic>
          </wp:inline>
        </w:drawing>
      </w:r>
    </w:p>
    <w:p w14:paraId="0017E623" w14:textId="1CB7581E" w:rsidR="00CA0617" w:rsidRPr="00ED5F8D" w:rsidRDefault="00CA0617" w:rsidP="00CA0617">
      <w:pPr>
        <w:rPr>
          <w:rFonts w:cstheme="minorHAnsi"/>
        </w:rPr>
      </w:pPr>
      <w:r w:rsidRPr="00ED5F8D">
        <w:rPr>
          <w:rFonts w:cstheme="minorHAnsi"/>
        </w:rPr>
        <w:t>Andrew A. Kingman</w:t>
      </w:r>
    </w:p>
    <w:p w14:paraId="40BC3B88" w14:textId="176CC1F7" w:rsidR="00CA0617" w:rsidRPr="00ED5F8D" w:rsidRDefault="00CA0617" w:rsidP="00CA0617">
      <w:pPr>
        <w:rPr>
          <w:rFonts w:cstheme="minorHAnsi"/>
        </w:rPr>
      </w:pPr>
      <w:r w:rsidRPr="00ED5F8D">
        <w:rPr>
          <w:rFonts w:cstheme="minorHAnsi"/>
        </w:rPr>
        <w:t>Counsel, State Privacy &amp; Security Coalition</w:t>
      </w:r>
    </w:p>
    <w:sectPr w:rsidR="00CA0617" w:rsidRPr="00ED5F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08E6C" w14:textId="77777777" w:rsidR="007B3D01" w:rsidRDefault="007B3D01" w:rsidP="008B3377">
      <w:r>
        <w:separator/>
      </w:r>
    </w:p>
  </w:endnote>
  <w:endnote w:type="continuationSeparator" w:id="0">
    <w:p w14:paraId="476FBC51" w14:textId="77777777" w:rsidR="007B3D01" w:rsidRDefault="007B3D01" w:rsidP="008B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0B12C" w14:textId="77777777" w:rsidR="007B3D01" w:rsidRDefault="007B3D01" w:rsidP="008B3377">
      <w:r>
        <w:separator/>
      </w:r>
    </w:p>
  </w:footnote>
  <w:footnote w:type="continuationSeparator" w:id="0">
    <w:p w14:paraId="55E3731B" w14:textId="77777777" w:rsidR="007B3D01" w:rsidRDefault="007B3D01" w:rsidP="008B3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D8E6" w14:textId="7DBE63D9" w:rsidR="008B3377" w:rsidRDefault="008B3377" w:rsidP="008B3377">
    <w:pPr>
      <w:pStyle w:val="Header"/>
      <w:jc w:val="center"/>
    </w:pPr>
    <w:r>
      <w:rPr>
        <w:noProof/>
      </w:rPr>
      <w:drawing>
        <wp:inline distT="0" distB="0" distL="0" distR="0" wp14:anchorId="0C097B24" wp14:editId="62C5B891">
          <wp:extent cx="5937250" cy="247650"/>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247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1797"/>
    <w:multiLevelType w:val="hybridMultilevel"/>
    <w:tmpl w:val="82FA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87DC4"/>
    <w:multiLevelType w:val="hybridMultilevel"/>
    <w:tmpl w:val="F36AA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B032EC"/>
    <w:multiLevelType w:val="hybridMultilevel"/>
    <w:tmpl w:val="AF88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E09E9"/>
    <w:multiLevelType w:val="hybridMultilevel"/>
    <w:tmpl w:val="C720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4D31C1"/>
    <w:multiLevelType w:val="hybridMultilevel"/>
    <w:tmpl w:val="DF48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989694">
    <w:abstractNumId w:val="0"/>
  </w:num>
  <w:num w:numId="2" w16cid:durableId="759984353">
    <w:abstractNumId w:val="4"/>
  </w:num>
  <w:num w:numId="3" w16cid:durableId="2094088968">
    <w:abstractNumId w:val="2"/>
  </w:num>
  <w:num w:numId="4" w16cid:durableId="1521238887">
    <w:abstractNumId w:val="3"/>
  </w:num>
  <w:num w:numId="5" w16cid:durableId="1466894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77"/>
    <w:rsid w:val="00000A32"/>
    <w:rsid w:val="000B6D8F"/>
    <w:rsid w:val="000C1533"/>
    <w:rsid w:val="000C1C81"/>
    <w:rsid w:val="001213B2"/>
    <w:rsid w:val="00194BCE"/>
    <w:rsid w:val="001F48CD"/>
    <w:rsid w:val="002077B7"/>
    <w:rsid w:val="00213998"/>
    <w:rsid w:val="00233522"/>
    <w:rsid w:val="002745F4"/>
    <w:rsid w:val="00281661"/>
    <w:rsid w:val="00287ED8"/>
    <w:rsid w:val="002A4876"/>
    <w:rsid w:val="002D6483"/>
    <w:rsid w:val="003103A7"/>
    <w:rsid w:val="0032360C"/>
    <w:rsid w:val="003555CB"/>
    <w:rsid w:val="00390844"/>
    <w:rsid w:val="00395EA9"/>
    <w:rsid w:val="003C7539"/>
    <w:rsid w:val="003D546B"/>
    <w:rsid w:val="003D6584"/>
    <w:rsid w:val="00410629"/>
    <w:rsid w:val="004136CD"/>
    <w:rsid w:val="00426364"/>
    <w:rsid w:val="00452F9F"/>
    <w:rsid w:val="004C24A6"/>
    <w:rsid w:val="00504D29"/>
    <w:rsid w:val="00543F15"/>
    <w:rsid w:val="00545084"/>
    <w:rsid w:val="005A29F9"/>
    <w:rsid w:val="005F37BE"/>
    <w:rsid w:val="0061777F"/>
    <w:rsid w:val="00696F21"/>
    <w:rsid w:val="00717231"/>
    <w:rsid w:val="007302B8"/>
    <w:rsid w:val="0075661B"/>
    <w:rsid w:val="00785B08"/>
    <w:rsid w:val="007B3D01"/>
    <w:rsid w:val="007B5BF4"/>
    <w:rsid w:val="007D1172"/>
    <w:rsid w:val="008526E3"/>
    <w:rsid w:val="00886E62"/>
    <w:rsid w:val="008A03E5"/>
    <w:rsid w:val="008A25ED"/>
    <w:rsid w:val="008B3377"/>
    <w:rsid w:val="008B7C8A"/>
    <w:rsid w:val="008E24A2"/>
    <w:rsid w:val="008F2C76"/>
    <w:rsid w:val="008F3787"/>
    <w:rsid w:val="008F682C"/>
    <w:rsid w:val="00927141"/>
    <w:rsid w:val="00940D3E"/>
    <w:rsid w:val="009B0420"/>
    <w:rsid w:val="009C4B5C"/>
    <w:rsid w:val="009C6E05"/>
    <w:rsid w:val="009E3769"/>
    <w:rsid w:val="009F163D"/>
    <w:rsid w:val="00A3769B"/>
    <w:rsid w:val="00A41B5F"/>
    <w:rsid w:val="00A6623C"/>
    <w:rsid w:val="00AA458B"/>
    <w:rsid w:val="00AD5C59"/>
    <w:rsid w:val="00B27C2A"/>
    <w:rsid w:val="00B66DEB"/>
    <w:rsid w:val="00C16DE8"/>
    <w:rsid w:val="00CA0617"/>
    <w:rsid w:val="00CA0C97"/>
    <w:rsid w:val="00CA2AB9"/>
    <w:rsid w:val="00CB641D"/>
    <w:rsid w:val="00CD0D4E"/>
    <w:rsid w:val="00CD4D70"/>
    <w:rsid w:val="00CE71F0"/>
    <w:rsid w:val="00D107F9"/>
    <w:rsid w:val="00D30D4B"/>
    <w:rsid w:val="00D70E6D"/>
    <w:rsid w:val="00DA7A3E"/>
    <w:rsid w:val="00DF4EEA"/>
    <w:rsid w:val="00E04376"/>
    <w:rsid w:val="00E217FB"/>
    <w:rsid w:val="00E67365"/>
    <w:rsid w:val="00E8235C"/>
    <w:rsid w:val="00EB54D1"/>
    <w:rsid w:val="00ED1374"/>
    <w:rsid w:val="00ED5F8D"/>
    <w:rsid w:val="00F100E2"/>
    <w:rsid w:val="00F20746"/>
    <w:rsid w:val="00F26BAF"/>
    <w:rsid w:val="00F35967"/>
    <w:rsid w:val="00F37080"/>
    <w:rsid w:val="00F554D4"/>
    <w:rsid w:val="00F65F7B"/>
    <w:rsid w:val="00F91E1F"/>
    <w:rsid w:val="00F92017"/>
    <w:rsid w:val="00FA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22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377"/>
    <w:pPr>
      <w:tabs>
        <w:tab w:val="center" w:pos="4680"/>
        <w:tab w:val="right" w:pos="9360"/>
      </w:tabs>
    </w:pPr>
  </w:style>
  <w:style w:type="character" w:customStyle="1" w:styleId="HeaderChar">
    <w:name w:val="Header Char"/>
    <w:basedOn w:val="DefaultParagraphFont"/>
    <w:link w:val="Header"/>
    <w:uiPriority w:val="99"/>
    <w:rsid w:val="008B3377"/>
  </w:style>
  <w:style w:type="paragraph" w:styleId="Footer">
    <w:name w:val="footer"/>
    <w:basedOn w:val="Normal"/>
    <w:link w:val="FooterChar"/>
    <w:uiPriority w:val="99"/>
    <w:unhideWhenUsed/>
    <w:rsid w:val="008B3377"/>
    <w:pPr>
      <w:tabs>
        <w:tab w:val="center" w:pos="4680"/>
        <w:tab w:val="right" w:pos="9360"/>
      </w:tabs>
    </w:pPr>
  </w:style>
  <w:style w:type="character" w:customStyle="1" w:styleId="FooterChar">
    <w:name w:val="Footer Char"/>
    <w:basedOn w:val="DefaultParagraphFont"/>
    <w:link w:val="Footer"/>
    <w:uiPriority w:val="99"/>
    <w:rsid w:val="008B3377"/>
  </w:style>
  <w:style w:type="paragraph" w:styleId="ListParagraph">
    <w:name w:val="List Paragraph"/>
    <w:basedOn w:val="Normal"/>
    <w:uiPriority w:val="34"/>
    <w:qFormat/>
    <w:rsid w:val="00CA0617"/>
    <w:pPr>
      <w:ind w:left="720"/>
      <w:contextualSpacing/>
    </w:pPr>
  </w:style>
  <w:style w:type="character" w:customStyle="1" w:styleId="apple-converted-space">
    <w:name w:val="apple-converted-space"/>
    <w:basedOn w:val="DefaultParagraphFont"/>
    <w:rsid w:val="00ED5F8D"/>
  </w:style>
  <w:style w:type="character" w:customStyle="1" w:styleId="outlook-search-highlight">
    <w:name w:val="outlook-search-highlight"/>
    <w:basedOn w:val="DefaultParagraphFont"/>
    <w:rsid w:val="008F3787"/>
  </w:style>
  <w:style w:type="paragraph" w:styleId="Revision">
    <w:name w:val="Revision"/>
    <w:hidden/>
    <w:uiPriority w:val="99"/>
    <w:semiHidden/>
    <w:rsid w:val="00DF4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027132">
      <w:bodyDiv w:val="1"/>
      <w:marLeft w:val="0"/>
      <w:marRight w:val="0"/>
      <w:marTop w:val="0"/>
      <w:marBottom w:val="0"/>
      <w:divBdr>
        <w:top w:val="none" w:sz="0" w:space="0" w:color="auto"/>
        <w:left w:val="none" w:sz="0" w:space="0" w:color="auto"/>
        <w:bottom w:val="none" w:sz="0" w:space="0" w:color="auto"/>
        <w:right w:val="none" w:sz="0" w:space="0" w:color="auto"/>
      </w:divBdr>
    </w:div>
    <w:div w:id="1690375662">
      <w:bodyDiv w:val="1"/>
      <w:marLeft w:val="0"/>
      <w:marRight w:val="0"/>
      <w:marTop w:val="0"/>
      <w:marBottom w:val="0"/>
      <w:divBdr>
        <w:top w:val="none" w:sz="0" w:space="0" w:color="auto"/>
        <w:left w:val="none" w:sz="0" w:space="0" w:color="auto"/>
        <w:bottom w:val="none" w:sz="0" w:space="0" w:color="auto"/>
        <w:right w:val="none" w:sz="0" w:space="0" w:color="auto"/>
      </w:divBdr>
    </w:div>
    <w:div w:id="186852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2024-02-20T17:37:00Z</dcterms:created>
  <dcterms:modified xsi:type="dcterms:W3CDTF">2024-02-20T17:45:00Z</dcterms:modified>
</cp:coreProperties>
</file>