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A55F" w14:textId="7D3C9972" w:rsidR="00474307" w:rsidRPr="00474307" w:rsidRDefault="00474307">
      <w:pPr>
        <w:rPr>
          <w:rFonts w:cstheme="minorHAnsi"/>
          <w:sz w:val="24"/>
          <w:szCs w:val="24"/>
        </w:rPr>
      </w:pPr>
    </w:p>
    <w:p w14:paraId="4AC553E2" w14:textId="0AF9AC76" w:rsidR="00474307" w:rsidRDefault="00474307">
      <w:pPr>
        <w:rPr>
          <w:rFonts w:cstheme="minorHAnsi"/>
          <w:sz w:val="24"/>
          <w:szCs w:val="24"/>
        </w:rPr>
      </w:pPr>
      <w:r w:rsidRPr="00474307">
        <w:rPr>
          <w:rFonts w:cstheme="minorHAnsi"/>
          <w:sz w:val="24"/>
          <w:szCs w:val="24"/>
        </w:rPr>
        <w:t>March 23, 2022</w:t>
      </w:r>
    </w:p>
    <w:p w14:paraId="2759E6A9" w14:textId="77777777" w:rsidR="00DA479A" w:rsidRPr="00474307" w:rsidRDefault="00DA479A">
      <w:pPr>
        <w:rPr>
          <w:rFonts w:cstheme="minorHAnsi"/>
          <w:sz w:val="24"/>
          <w:szCs w:val="24"/>
        </w:rPr>
      </w:pPr>
    </w:p>
    <w:p w14:paraId="4F51F29C" w14:textId="70E86469" w:rsidR="00474307" w:rsidRPr="00DA479A" w:rsidRDefault="00474307">
      <w:pPr>
        <w:rPr>
          <w:rFonts w:cstheme="minorHAnsi"/>
          <w:sz w:val="24"/>
          <w:szCs w:val="24"/>
        </w:rPr>
      </w:pPr>
      <w:r w:rsidRPr="00DA479A">
        <w:rPr>
          <w:rFonts w:cstheme="minorHAnsi"/>
          <w:sz w:val="24"/>
          <w:szCs w:val="24"/>
        </w:rPr>
        <w:t>Dear</w:t>
      </w:r>
      <w:r w:rsidR="00DA479A" w:rsidRPr="00DA479A">
        <w:rPr>
          <w:rFonts w:cstheme="minorHAnsi"/>
          <w:sz w:val="24"/>
          <w:szCs w:val="24"/>
        </w:rPr>
        <w:t xml:space="preserve"> </w:t>
      </w:r>
      <w:r w:rsidR="00DA479A" w:rsidRPr="00DA479A">
        <w:rPr>
          <w:rFonts w:eastAsia="Times New Roman"/>
          <w:sz w:val="24"/>
          <w:szCs w:val="24"/>
        </w:rPr>
        <w:t>Committee Chair Rep. Mohamud Noor and Vice Chair Rep. Jay Xiong of the Workforce and Business Development Finance and Policy Committee</w:t>
      </w:r>
      <w:r w:rsidR="00DA479A" w:rsidRPr="00DA479A">
        <w:rPr>
          <w:rFonts w:eastAsia="Times New Roman"/>
          <w:sz w:val="24"/>
          <w:szCs w:val="24"/>
        </w:rPr>
        <w:t>,</w:t>
      </w:r>
    </w:p>
    <w:p w14:paraId="7796B526" w14:textId="53696D56" w:rsidR="00474307" w:rsidRPr="00474307" w:rsidRDefault="00474307" w:rsidP="00474307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474307">
        <w:rPr>
          <w:rFonts w:cstheme="minorHAnsi"/>
          <w:sz w:val="24"/>
          <w:szCs w:val="24"/>
        </w:rPr>
        <w:t>Thank you for providing valuable leadership for the  </w:t>
      </w:r>
      <w:hyperlink r:id="rId6" w:history="1">
        <w:r w:rsidRPr="00474307">
          <w:rPr>
            <w:rStyle w:val="Hyperlink"/>
            <w:rFonts w:cstheme="minorHAnsi"/>
            <w:color w:val="auto"/>
            <w:sz w:val="24"/>
            <w:szCs w:val="24"/>
            <w:u w:val="none"/>
          </w:rPr>
          <w:t>Headwaters Community Food and Water Bill</w:t>
        </w:r>
      </w:hyperlink>
      <w:r w:rsidRPr="00474307">
        <w:rPr>
          <w:rFonts w:cstheme="minorHAnsi"/>
          <w:sz w:val="24"/>
          <w:szCs w:val="24"/>
        </w:rPr>
        <w:t> (</w:t>
      </w:r>
      <w:hyperlink r:id="rId7" w:history="1">
        <w:r w:rsidRPr="00474307">
          <w:rPr>
            <w:rStyle w:val="Hyperlink"/>
            <w:rFonts w:cstheme="minorHAnsi"/>
            <w:color w:val="auto"/>
            <w:sz w:val="24"/>
            <w:szCs w:val="24"/>
            <w:u w:val="none"/>
          </w:rPr>
          <w:t>HF1332</w:t>
        </w:r>
      </w:hyperlink>
      <w:r w:rsidRPr="00474307">
        <w:rPr>
          <w:rFonts w:cstheme="minorHAnsi"/>
          <w:sz w:val="24"/>
          <w:szCs w:val="24"/>
        </w:rPr>
        <w:t>/</w:t>
      </w:r>
      <w:hyperlink r:id="rId8" w:history="1">
        <w:r w:rsidRPr="00474307">
          <w:rPr>
            <w:rStyle w:val="Hyperlink"/>
            <w:rFonts w:cstheme="minorHAnsi"/>
            <w:color w:val="auto"/>
            <w:sz w:val="24"/>
            <w:szCs w:val="24"/>
            <w:u w:val="none"/>
          </w:rPr>
          <w:t>SF1580</w:t>
        </w:r>
      </w:hyperlink>
      <w:r>
        <w:rPr>
          <w:rFonts w:cstheme="minorHAnsi"/>
          <w:sz w:val="24"/>
          <w:szCs w:val="24"/>
        </w:rPr>
        <w:t>)</w:t>
      </w:r>
      <w:r w:rsidRPr="00474307">
        <w:rPr>
          <w:rFonts w:cstheme="minorHAnsi"/>
          <w:sz w:val="24"/>
          <w:szCs w:val="24"/>
        </w:rPr>
        <w:t>.</w:t>
      </w:r>
    </w:p>
    <w:p w14:paraId="6BB05F73" w14:textId="7B33E8C9" w:rsidR="00474307" w:rsidRDefault="00474307" w:rsidP="00474307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 w:rsidRPr="00474307">
        <w:rPr>
          <w:rFonts w:cstheme="minorHAnsi"/>
          <w:i/>
          <w:iCs/>
          <w:sz w:val="24"/>
          <w:szCs w:val="24"/>
        </w:rPr>
        <w:t>With continuing concerns about supply chain disruptions, extreme weather events, and enduring food insecurity, leadership to create a responsive, just, and sustainable food economy is urgent. </w:t>
      </w:r>
    </w:p>
    <w:p w14:paraId="11765C49" w14:textId="44D0E2D0" w:rsidR="00474307" w:rsidRPr="00474307" w:rsidRDefault="00474307" w:rsidP="00474307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our work at The Food Group, we see every day how the lack of an equitable local food economy leads to </w:t>
      </w:r>
      <w:r w:rsidR="00500591">
        <w:rPr>
          <w:rFonts w:cstheme="minorHAnsi"/>
          <w:sz w:val="24"/>
          <w:szCs w:val="24"/>
        </w:rPr>
        <w:t>so many challenges for food and land access</w:t>
      </w:r>
      <w:r>
        <w:rPr>
          <w:rFonts w:cstheme="minorHAnsi"/>
          <w:sz w:val="24"/>
          <w:szCs w:val="24"/>
        </w:rPr>
        <w:t xml:space="preserve">.  This means that many Minnesotans are unable to fully participate in a food system that works for their families.  </w:t>
      </w:r>
    </w:p>
    <w:p w14:paraId="13011DCD" w14:textId="77777777" w:rsidR="00474307" w:rsidRPr="00474307" w:rsidRDefault="00474307" w:rsidP="00474307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474307">
        <w:rPr>
          <w:rFonts w:cstheme="minorHAnsi"/>
          <w:sz w:val="24"/>
          <w:szCs w:val="24"/>
        </w:rPr>
        <w:t>Operating the source-to-table food web economy created by the Headwaters Bill would provide urban, rural, and suburban communities with a powerful tool to be climate resilient, food secure, and to prepare for and manage emergencies.</w:t>
      </w:r>
    </w:p>
    <w:p w14:paraId="2CE0F95F" w14:textId="71A25215" w:rsidR="00474307" w:rsidRPr="00474307" w:rsidRDefault="00474307" w:rsidP="00474307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474307">
        <w:rPr>
          <w:rFonts w:cstheme="minorHAnsi"/>
          <w:sz w:val="24"/>
          <w:szCs w:val="24"/>
        </w:rPr>
        <w:t>The design and purpose of the decentralized, coordinated food web economy aligns with the values and objectives outlined by the </w:t>
      </w:r>
      <w:r w:rsidRPr="00474307">
        <w:rPr>
          <w:rFonts w:cstheme="minorHAnsi"/>
          <w:b/>
          <w:bCs/>
          <w:sz w:val="24"/>
          <w:szCs w:val="24"/>
        </w:rPr>
        <w:t>House Climate Action Plan</w:t>
      </w:r>
      <w:r w:rsidRPr="00474307">
        <w:rPr>
          <w:rFonts w:cstheme="minorHAnsi"/>
          <w:sz w:val="24"/>
          <w:szCs w:val="24"/>
        </w:rPr>
        <w:t> and the </w:t>
      </w:r>
      <w:r w:rsidRPr="00474307">
        <w:rPr>
          <w:rFonts w:cstheme="minorHAnsi"/>
          <w:b/>
          <w:bCs/>
          <w:sz w:val="24"/>
          <w:szCs w:val="24"/>
        </w:rPr>
        <w:t>Minnesota Climate Action Framework </w:t>
      </w:r>
      <w:r w:rsidRPr="00474307">
        <w:rPr>
          <w:rFonts w:cstheme="minorHAnsi"/>
          <w:sz w:val="24"/>
          <w:szCs w:val="24"/>
        </w:rPr>
        <w:t>and the report to the legislature by </w:t>
      </w:r>
      <w:r w:rsidRPr="00474307">
        <w:rPr>
          <w:rFonts w:cstheme="minorHAnsi"/>
          <w:b/>
          <w:bCs/>
          <w:sz w:val="24"/>
          <w:szCs w:val="24"/>
        </w:rPr>
        <w:t>the House Select Committee on Racial Justice</w:t>
      </w:r>
      <w:r>
        <w:rPr>
          <w:rFonts w:cstheme="minorHAnsi"/>
          <w:b/>
          <w:bCs/>
          <w:sz w:val="24"/>
          <w:szCs w:val="24"/>
        </w:rPr>
        <w:t>.</w:t>
      </w:r>
      <w:r w:rsidRPr="00474307">
        <w:rPr>
          <w:rFonts w:cstheme="minorHAnsi"/>
          <w:sz w:val="24"/>
          <w:szCs w:val="24"/>
        </w:rPr>
        <w:t xml:space="preserve"> </w:t>
      </w:r>
    </w:p>
    <w:p w14:paraId="4DCB7852" w14:textId="77777777" w:rsidR="00474307" w:rsidRPr="00474307" w:rsidRDefault="00474307" w:rsidP="00474307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474307">
        <w:rPr>
          <w:rFonts w:cstheme="minorHAnsi"/>
          <w:sz w:val="24"/>
          <w:szCs w:val="24"/>
        </w:rPr>
        <w:t xml:space="preserve">Investments from the $1billion fund for the Minnesota Climate Action Framework would provide crucial economic infrastructure to create and operate a robust, responsive, food web economy as a foundation for resilient regional economies. </w:t>
      </w:r>
    </w:p>
    <w:p w14:paraId="11D3AE38" w14:textId="77777777" w:rsidR="00474307" w:rsidRPr="00474307" w:rsidRDefault="00474307" w:rsidP="00474307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474307">
        <w:rPr>
          <w:rFonts w:cstheme="minorHAnsi"/>
          <w:sz w:val="24"/>
          <w:szCs w:val="24"/>
        </w:rPr>
        <w:t>With respect, I ask you to present the case together with your colleagues to invest those funds to create the food web economy outlined by the Headwaters Bill. </w:t>
      </w:r>
    </w:p>
    <w:p w14:paraId="5A76F0BC" w14:textId="61379549" w:rsidR="001A3F14" w:rsidRDefault="00474307" w:rsidP="001A3F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Sincerely,</w:t>
      </w:r>
    </w:p>
    <w:p w14:paraId="65890914" w14:textId="5204A456" w:rsidR="00E024EA" w:rsidRDefault="00E024EA" w:rsidP="001A3F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AD592E" wp14:editId="7198293F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284257" cy="552450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42" cy="555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1B623" w14:textId="77777777" w:rsidR="00E024EA" w:rsidRDefault="00474307" w:rsidP="001A3F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14:paraId="2C66F5DA" w14:textId="76FC2418" w:rsidR="00474307" w:rsidRDefault="00474307" w:rsidP="001A3F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Sophia Lenarz-Coy</w:t>
      </w:r>
    </w:p>
    <w:p w14:paraId="5B98BCCB" w14:textId="6A0A6EC0" w:rsidR="00474307" w:rsidRPr="00474307" w:rsidRDefault="00474307" w:rsidP="001A3F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Director</w:t>
      </w:r>
    </w:p>
    <w:sectPr w:rsidR="00474307" w:rsidRPr="0047430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272F" w14:textId="77777777" w:rsidR="0005693B" w:rsidRDefault="0005693B" w:rsidP="00730774">
      <w:pPr>
        <w:spacing w:after="0" w:line="240" w:lineRule="auto"/>
      </w:pPr>
      <w:r>
        <w:separator/>
      </w:r>
    </w:p>
  </w:endnote>
  <w:endnote w:type="continuationSeparator" w:id="0">
    <w:p w14:paraId="1B2AE186" w14:textId="77777777" w:rsidR="0005693B" w:rsidRDefault="0005693B" w:rsidP="0073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New Baskerville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12BB" w14:textId="77777777" w:rsidR="00730774" w:rsidRPr="002C2116" w:rsidRDefault="002C2116" w:rsidP="00730774">
    <w:pPr>
      <w:pStyle w:val="Footer"/>
      <w:jc w:val="center"/>
      <w:rPr>
        <w:rFonts w:ascii="New Baskerville" w:hAnsi="New Baskerville"/>
        <w:i/>
        <w:iCs/>
        <w:color w:val="8A8A8D"/>
        <w:sz w:val="23"/>
        <w:szCs w:val="23"/>
      </w:rPr>
    </w:pPr>
    <w:r w:rsidRPr="002C2116">
      <w:rPr>
        <w:rFonts w:ascii="New Baskerville" w:hAnsi="New Baskerville"/>
        <w:i/>
        <w:iCs/>
        <w:color w:val="8A8A8D"/>
        <w:sz w:val="23"/>
        <w:szCs w:val="23"/>
      </w:rPr>
      <w:t>8501 54</w:t>
    </w:r>
    <w:r w:rsidRPr="002C2116">
      <w:rPr>
        <w:rFonts w:ascii="New Baskerville" w:hAnsi="New Baskerville"/>
        <w:i/>
        <w:iCs/>
        <w:color w:val="8A8A8D"/>
        <w:sz w:val="23"/>
        <w:szCs w:val="23"/>
        <w:vertAlign w:val="superscript"/>
      </w:rPr>
      <w:t>th</w:t>
    </w:r>
    <w:r w:rsidRPr="002C2116">
      <w:rPr>
        <w:rFonts w:ascii="New Baskerville" w:hAnsi="New Baskerville"/>
        <w:i/>
        <w:iCs/>
        <w:color w:val="8A8A8D"/>
        <w:sz w:val="23"/>
        <w:szCs w:val="23"/>
      </w:rPr>
      <w:t xml:space="preserve"> Ave N</w:t>
    </w:r>
    <w:r w:rsidR="00730774" w:rsidRPr="002C2116">
      <w:rPr>
        <w:rFonts w:ascii="New Baskerville" w:hAnsi="New Baskerville"/>
        <w:i/>
        <w:iCs/>
        <w:color w:val="8A8A8D"/>
        <w:sz w:val="23"/>
        <w:szCs w:val="23"/>
      </w:rPr>
      <w:t xml:space="preserve"> </w:t>
    </w:r>
    <w:r w:rsidR="00730774" w:rsidRPr="002C2116">
      <w:rPr>
        <w:rFonts w:ascii="Times New Roman" w:hAnsi="Times New Roman" w:cs="Times New Roman"/>
        <w:i/>
        <w:iCs/>
        <w:color w:val="8A8A8D"/>
        <w:sz w:val="23"/>
        <w:szCs w:val="23"/>
      </w:rPr>
      <w:t>●</w:t>
    </w:r>
    <w:r w:rsidR="00730774" w:rsidRPr="002C2116">
      <w:rPr>
        <w:rFonts w:ascii="New Baskerville" w:hAnsi="New Baskerville"/>
        <w:i/>
        <w:iCs/>
        <w:color w:val="8A8A8D"/>
        <w:sz w:val="23"/>
        <w:szCs w:val="23"/>
      </w:rPr>
      <w:t xml:space="preserve"> </w:t>
    </w:r>
    <w:r w:rsidRPr="002C2116">
      <w:rPr>
        <w:rFonts w:ascii="New Baskerville" w:hAnsi="New Baskerville"/>
        <w:i/>
        <w:iCs/>
        <w:color w:val="8A8A8D"/>
        <w:sz w:val="23"/>
        <w:szCs w:val="23"/>
      </w:rPr>
      <w:t>New Hope, MN 55428</w:t>
    </w:r>
    <w:r w:rsidR="00730774" w:rsidRPr="002C2116">
      <w:rPr>
        <w:rFonts w:ascii="New Baskerville" w:hAnsi="New Baskerville"/>
        <w:i/>
        <w:iCs/>
        <w:color w:val="8A8A8D"/>
        <w:sz w:val="23"/>
        <w:szCs w:val="23"/>
      </w:rPr>
      <w:t xml:space="preserve"> </w:t>
    </w:r>
    <w:r w:rsidR="00730774" w:rsidRPr="002C2116">
      <w:rPr>
        <w:rFonts w:ascii="Times New Roman" w:hAnsi="Times New Roman" w:cs="Times New Roman"/>
        <w:i/>
        <w:iCs/>
        <w:color w:val="8A8A8D"/>
        <w:sz w:val="23"/>
        <w:szCs w:val="23"/>
      </w:rPr>
      <w:t>●</w:t>
    </w:r>
    <w:r w:rsidR="00730774" w:rsidRPr="002C2116">
      <w:rPr>
        <w:rFonts w:ascii="New Baskerville" w:hAnsi="New Baskerville"/>
        <w:i/>
        <w:iCs/>
        <w:color w:val="8A8A8D"/>
        <w:sz w:val="23"/>
        <w:szCs w:val="23"/>
      </w:rPr>
      <w:t xml:space="preserve"> </w:t>
    </w:r>
    <w:r w:rsidRPr="002C2116">
      <w:rPr>
        <w:rFonts w:ascii="New Baskerville" w:hAnsi="New Baskerville"/>
        <w:i/>
        <w:iCs/>
        <w:color w:val="8A8A8D"/>
        <w:sz w:val="23"/>
        <w:szCs w:val="23"/>
      </w:rPr>
      <w:t>763.450.3860</w:t>
    </w:r>
    <w:r w:rsidR="00730774" w:rsidRPr="002C2116">
      <w:rPr>
        <w:rFonts w:ascii="New Baskerville" w:hAnsi="New Baskerville"/>
        <w:i/>
        <w:iCs/>
        <w:color w:val="8A8A8D"/>
        <w:sz w:val="23"/>
        <w:szCs w:val="23"/>
      </w:rPr>
      <w:t xml:space="preserve"> </w:t>
    </w:r>
    <w:r w:rsidR="00730774" w:rsidRPr="002C2116">
      <w:rPr>
        <w:rFonts w:ascii="Times New Roman" w:hAnsi="Times New Roman" w:cs="Times New Roman"/>
        <w:i/>
        <w:iCs/>
        <w:color w:val="8A8A8D"/>
        <w:sz w:val="23"/>
        <w:szCs w:val="23"/>
      </w:rPr>
      <w:t>●</w:t>
    </w:r>
    <w:r w:rsidR="00730774" w:rsidRPr="002C2116">
      <w:rPr>
        <w:rFonts w:ascii="New Baskerville" w:hAnsi="New Baskerville"/>
        <w:i/>
        <w:iCs/>
        <w:color w:val="8A8A8D"/>
        <w:sz w:val="23"/>
        <w:szCs w:val="23"/>
      </w:rPr>
      <w:t xml:space="preserve"> www.</w:t>
    </w:r>
    <w:r w:rsidRPr="002C2116">
      <w:rPr>
        <w:rFonts w:ascii="New Baskerville" w:hAnsi="New Baskerville"/>
        <w:i/>
        <w:iCs/>
        <w:color w:val="8A8A8D"/>
        <w:sz w:val="23"/>
        <w:szCs w:val="23"/>
      </w:rPr>
      <w:t>thefoodgroupmn.org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8B6E" w14:textId="77777777" w:rsidR="0005693B" w:rsidRDefault="0005693B" w:rsidP="00730774">
      <w:pPr>
        <w:spacing w:after="0" w:line="240" w:lineRule="auto"/>
      </w:pPr>
      <w:r>
        <w:separator/>
      </w:r>
    </w:p>
  </w:footnote>
  <w:footnote w:type="continuationSeparator" w:id="0">
    <w:p w14:paraId="7399256C" w14:textId="77777777" w:rsidR="0005693B" w:rsidRDefault="0005693B" w:rsidP="0073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EF5C" w14:textId="77777777" w:rsidR="00730774" w:rsidRPr="002C2116" w:rsidRDefault="002C2116" w:rsidP="0005693B">
    <w:pPr>
      <w:pStyle w:val="Header"/>
      <w:jc w:val="center"/>
      <w:rPr>
        <w:rFonts w:ascii="Museo 900" w:hAnsi="Museo 900"/>
        <w:color w:val="8A8A8D"/>
      </w:rPr>
    </w:pPr>
    <w:r w:rsidRPr="002C2116">
      <w:rPr>
        <w:rFonts w:ascii="Museo 900" w:hAnsi="Museo 900"/>
        <w:noProof/>
        <w:color w:val="8A8A8D"/>
      </w:rPr>
      <w:drawing>
        <wp:anchor distT="0" distB="0" distL="114300" distR="114300" simplePos="0" relativeHeight="251659264" behindDoc="1" locked="0" layoutInCell="1" allowOverlap="1" wp14:anchorId="30D35B34" wp14:editId="375EA425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914400" cy="651608"/>
          <wp:effectExtent l="0" t="0" r="0" b="0"/>
          <wp:wrapTight wrapText="bothSides">
            <wp:wrapPolygon edited="0">
              <wp:start x="4950" y="0"/>
              <wp:lineTo x="2700" y="6316"/>
              <wp:lineTo x="2250" y="8842"/>
              <wp:lineTo x="0" y="12632"/>
              <wp:lineTo x="0" y="13895"/>
              <wp:lineTo x="2700" y="20211"/>
              <wp:lineTo x="2700" y="20842"/>
              <wp:lineTo x="21150" y="20842"/>
              <wp:lineTo x="21150" y="10737"/>
              <wp:lineTo x="16650" y="10105"/>
              <wp:lineTo x="12600" y="0"/>
              <wp:lineTo x="4950" y="0"/>
            </wp:wrapPolygon>
          </wp:wrapTight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51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116">
      <w:rPr>
        <w:rFonts w:ascii="Museo 900" w:hAnsi="Museo 900"/>
        <w:color w:val="8A8A8D"/>
      </w:rPr>
      <w:t>Food for today. Change for tomorrow.</w:t>
    </w:r>
  </w:p>
  <w:p w14:paraId="3D9C41BD" w14:textId="77777777" w:rsidR="00730774" w:rsidRDefault="00730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3B"/>
    <w:rsid w:val="00016C7E"/>
    <w:rsid w:val="0005693B"/>
    <w:rsid w:val="000F4192"/>
    <w:rsid w:val="001A3F14"/>
    <w:rsid w:val="002C2116"/>
    <w:rsid w:val="00344EC4"/>
    <w:rsid w:val="00474307"/>
    <w:rsid w:val="004E633B"/>
    <w:rsid w:val="00500591"/>
    <w:rsid w:val="005502A6"/>
    <w:rsid w:val="00607B4A"/>
    <w:rsid w:val="0063474C"/>
    <w:rsid w:val="00730774"/>
    <w:rsid w:val="00921818"/>
    <w:rsid w:val="00D02A62"/>
    <w:rsid w:val="00DA479A"/>
    <w:rsid w:val="00E024EA"/>
    <w:rsid w:val="00E8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2FB070"/>
  <w15:chartTrackingRefBased/>
  <w15:docId w15:val="{A236F693-B012-43CF-B8FA-60C1B6D8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774"/>
  </w:style>
  <w:style w:type="paragraph" w:styleId="Footer">
    <w:name w:val="footer"/>
    <w:basedOn w:val="Normal"/>
    <w:link w:val="FooterChar"/>
    <w:uiPriority w:val="99"/>
    <w:unhideWhenUsed/>
    <w:rsid w:val="0073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774"/>
  </w:style>
  <w:style w:type="paragraph" w:styleId="BalloonText">
    <w:name w:val="Balloon Text"/>
    <w:basedOn w:val="Normal"/>
    <w:link w:val="BalloonTextChar"/>
    <w:uiPriority w:val="99"/>
    <w:semiHidden/>
    <w:unhideWhenUsed/>
    <w:rsid w:val="002C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5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3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foodandwater.org/headwaters-bill-status-sena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ustfoodandwater.org/headwaters-bill-status-hou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tfoodandwater.org/headwaters-bil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heFoodGroupAssets\Templates\TFG%20Letterhead%20Template%20-%20FY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TFG Letterhead Template - FY21.dotx</Template>
  <TotalTime>80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Wilson</dc:creator>
  <cp:keywords/>
  <dc:description/>
  <cp:lastModifiedBy>Sophia Lenarz-Coy</cp:lastModifiedBy>
  <cp:revision>4</cp:revision>
  <dcterms:created xsi:type="dcterms:W3CDTF">2022-03-23T18:41:00Z</dcterms:created>
  <dcterms:modified xsi:type="dcterms:W3CDTF">2022-03-23T21:30:00Z</dcterms:modified>
</cp:coreProperties>
</file>