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2DC43" w14:textId="06A4783D" w:rsidR="00482E18" w:rsidRPr="00A46B0B" w:rsidRDefault="00A46B0B" w:rsidP="00A46B0B">
      <w:pPr>
        <w:pStyle w:val="paragraph"/>
        <w:spacing w:before="0" w:beforeAutospacing="0" w:after="0" w:afterAutospacing="0"/>
        <w:jc w:val="center"/>
        <w:textAlignment w:val="baseline"/>
        <w:rPr>
          <w:rStyle w:val="normaltextrun"/>
          <w:rFonts w:asciiTheme="minorHAnsi" w:hAnsiTheme="minorHAnsi" w:cstheme="minorHAnsi"/>
          <w:b/>
          <w:bCs/>
          <w:sz w:val="28"/>
          <w:szCs w:val="28"/>
          <w:u w:val="single"/>
        </w:rPr>
      </w:pPr>
      <w:r w:rsidRPr="00A46B0B">
        <w:rPr>
          <w:rStyle w:val="normaltextrun"/>
          <w:rFonts w:asciiTheme="minorHAnsi" w:hAnsiTheme="minorHAnsi" w:cstheme="minorHAnsi"/>
          <w:b/>
          <w:bCs/>
          <w:sz w:val="28"/>
          <w:szCs w:val="28"/>
          <w:u w:val="single"/>
        </w:rPr>
        <w:t xml:space="preserve">Accumulator Adjustment Program </w:t>
      </w:r>
      <w:r w:rsidR="00211A00">
        <w:rPr>
          <w:rStyle w:val="normaltextrun"/>
          <w:rFonts w:asciiTheme="minorHAnsi" w:hAnsiTheme="minorHAnsi" w:cstheme="minorHAnsi"/>
          <w:b/>
          <w:bCs/>
          <w:sz w:val="28"/>
          <w:szCs w:val="28"/>
          <w:u w:val="single"/>
        </w:rPr>
        <w:t xml:space="preserve">Legislation Opposition </w:t>
      </w:r>
      <w:r w:rsidR="00FB12B9">
        <w:rPr>
          <w:rStyle w:val="normaltextrun"/>
          <w:rFonts w:asciiTheme="minorHAnsi" w:hAnsiTheme="minorHAnsi" w:cstheme="minorHAnsi"/>
          <w:b/>
          <w:bCs/>
          <w:sz w:val="28"/>
          <w:szCs w:val="28"/>
          <w:u w:val="single"/>
        </w:rPr>
        <w:t>Talking Points &amp; Counters</w:t>
      </w:r>
    </w:p>
    <w:p w14:paraId="4E76E8D6" w14:textId="42CF2A97" w:rsidR="00A46B0B" w:rsidRDefault="00A46B0B" w:rsidP="00F65F87">
      <w:pPr>
        <w:pStyle w:val="paragraph"/>
        <w:spacing w:before="0" w:beforeAutospacing="0" w:after="0" w:afterAutospacing="0"/>
        <w:textAlignment w:val="baseline"/>
        <w:rPr>
          <w:rStyle w:val="normaltextrun"/>
          <w:rFonts w:ascii="Century Gothic" w:hAnsi="Century Gothic" w:cs="Segoe UI"/>
          <w:sz w:val="20"/>
          <w:szCs w:val="20"/>
        </w:rPr>
      </w:pPr>
    </w:p>
    <w:p w14:paraId="51DD429A" w14:textId="77777777" w:rsidR="00310297" w:rsidRPr="00310297" w:rsidRDefault="00310297" w:rsidP="006F5295">
      <w:pPr>
        <w:pStyle w:val="paragraph"/>
        <w:spacing w:after="0"/>
        <w:jc w:val="both"/>
        <w:textAlignment w:val="baseline"/>
        <w:rPr>
          <w:rFonts w:ascii="Century Gothic" w:hAnsi="Century Gothic" w:cs="Segoe UI"/>
          <w:b/>
          <w:bCs/>
          <w:sz w:val="20"/>
          <w:szCs w:val="20"/>
          <w:u w:val="single"/>
        </w:rPr>
      </w:pPr>
      <w:r w:rsidRPr="00310297">
        <w:rPr>
          <w:rFonts w:ascii="Century Gothic" w:hAnsi="Century Gothic" w:cs="Segoe UI"/>
          <w:b/>
          <w:bCs/>
          <w:sz w:val="20"/>
          <w:szCs w:val="20"/>
          <w:u w:val="single"/>
        </w:rPr>
        <w:t xml:space="preserve">Opposition Argument: </w:t>
      </w:r>
      <w:r w:rsidRPr="00310297">
        <w:rPr>
          <w:rFonts w:ascii="Century Gothic" w:hAnsi="Century Gothic" w:cs="Segoe UI"/>
          <w:sz w:val="20"/>
          <w:szCs w:val="20"/>
        </w:rPr>
        <w:t>Copay Assistance Steers Patients from Generic to Brand Name Drugs</w:t>
      </w:r>
    </w:p>
    <w:p w14:paraId="3050F7BF" w14:textId="77777777" w:rsidR="00310297" w:rsidRPr="00310297" w:rsidRDefault="00310297" w:rsidP="006F5295">
      <w:pPr>
        <w:pStyle w:val="paragraph"/>
        <w:spacing w:after="0"/>
        <w:jc w:val="both"/>
        <w:textAlignment w:val="baseline"/>
        <w:rPr>
          <w:rFonts w:ascii="Century Gothic" w:hAnsi="Century Gothic" w:cs="Segoe UI"/>
          <w:sz w:val="20"/>
          <w:szCs w:val="20"/>
        </w:rPr>
      </w:pPr>
      <w:r w:rsidRPr="00310297">
        <w:rPr>
          <w:rFonts w:ascii="Century Gothic" w:hAnsi="Century Gothic" w:cs="Segoe UI"/>
          <w:b/>
          <w:bCs/>
          <w:sz w:val="20"/>
          <w:szCs w:val="20"/>
          <w:u w:val="single"/>
        </w:rPr>
        <w:t xml:space="preserve">Counter: </w:t>
      </w:r>
      <w:r w:rsidRPr="00310297">
        <w:rPr>
          <w:rFonts w:ascii="Century Gothic" w:hAnsi="Century Gothic" w:cs="Segoe UI"/>
          <w:sz w:val="20"/>
          <w:szCs w:val="20"/>
        </w:rPr>
        <w:t>A study from IQVIA of claims data from 2013-2017 shows that 99.6% of copay assistance was used for treatments without generic alternatives.</w:t>
      </w:r>
      <w:r w:rsidRPr="00310297">
        <w:rPr>
          <w:rFonts w:ascii="Century Gothic" w:hAnsi="Century Gothic" w:cs="Segoe UI"/>
          <w:sz w:val="20"/>
          <w:szCs w:val="20"/>
          <w:vertAlign w:val="superscript"/>
        </w:rPr>
        <w:footnoteReference w:id="2"/>
      </w:r>
      <w:r w:rsidRPr="00310297">
        <w:rPr>
          <w:rFonts w:ascii="Century Gothic" w:hAnsi="Century Gothic" w:cs="Segoe UI"/>
          <w:sz w:val="20"/>
          <w:szCs w:val="20"/>
        </w:rPr>
        <w:t xml:space="preserve"> In other words, brand name drugs with generic alternatives only make up 0.4% of copay assistance usage.</w:t>
      </w:r>
    </w:p>
    <w:p w14:paraId="2D3D2025" w14:textId="4CA325E7" w:rsidR="00310297" w:rsidRPr="00310297" w:rsidRDefault="007F5D10" w:rsidP="006F5295">
      <w:pPr>
        <w:pStyle w:val="paragraph"/>
        <w:spacing w:after="0"/>
        <w:jc w:val="both"/>
        <w:textAlignment w:val="baseline"/>
        <w:rPr>
          <w:rFonts w:ascii="Century Gothic" w:hAnsi="Century Gothic" w:cs="Segoe UI"/>
          <w:sz w:val="20"/>
          <w:szCs w:val="20"/>
        </w:rPr>
      </w:pPr>
      <w:r>
        <w:rPr>
          <w:rFonts w:ascii="Century Gothic" w:hAnsi="Century Gothic" w:cs="Segoe UI"/>
          <w:sz w:val="20"/>
          <w:szCs w:val="20"/>
        </w:rPr>
        <w:t>I</w:t>
      </w:r>
      <w:r w:rsidR="00310297" w:rsidRPr="00310297">
        <w:rPr>
          <w:rFonts w:ascii="Century Gothic" w:hAnsi="Century Gothic" w:cs="Segoe UI"/>
          <w:sz w:val="20"/>
          <w:szCs w:val="20"/>
        </w:rPr>
        <w:t xml:space="preserve">nsurers and pharmacy benefit managers have utilization management protocols, such as step therapy and prior authorization. These protocols ensure that patients try lower costs alternatives before receiving access to a medication that has copay assistance. </w:t>
      </w:r>
    </w:p>
    <w:p w14:paraId="1D070967" w14:textId="77777777" w:rsidR="00310297" w:rsidRPr="00310297" w:rsidRDefault="00310297" w:rsidP="006F5295">
      <w:pPr>
        <w:pStyle w:val="paragraph"/>
        <w:spacing w:after="0"/>
        <w:jc w:val="both"/>
        <w:textAlignment w:val="baseline"/>
        <w:rPr>
          <w:rFonts w:ascii="Century Gothic" w:hAnsi="Century Gothic" w:cs="Segoe UI"/>
          <w:sz w:val="20"/>
          <w:szCs w:val="20"/>
        </w:rPr>
      </w:pPr>
      <w:r w:rsidRPr="00310297">
        <w:rPr>
          <w:rFonts w:ascii="Century Gothic" w:hAnsi="Century Gothic" w:cs="Segoe UI"/>
          <w:sz w:val="20"/>
          <w:szCs w:val="20"/>
        </w:rPr>
        <w:t xml:space="preserve">Copay assistance only becomes a factor for a medication once an insurance company has granted approval for the patient to utilize that medication. </w:t>
      </w:r>
    </w:p>
    <w:p w14:paraId="320085B7" w14:textId="77777777" w:rsidR="00310297" w:rsidRPr="00310297" w:rsidRDefault="00310297" w:rsidP="006F5295">
      <w:pPr>
        <w:pStyle w:val="paragraph"/>
        <w:spacing w:after="0"/>
        <w:jc w:val="both"/>
        <w:textAlignment w:val="baseline"/>
        <w:rPr>
          <w:rFonts w:ascii="Century Gothic" w:hAnsi="Century Gothic" w:cs="Segoe UI"/>
          <w:b/>
          <w:bCs/>
          <w:sz w:val="20"/>
          <w:szCs w:val="20"/>
          <w:u w:val="single"/>
        </w:rPr>
      </w:pPr>
    </w:p>
    <w:p w14:paraId="59169A64" w14:textId="6B41A352" w:rsidR="00310297" w:rsidRPr="00310297" w:rsidRDefault="00310297" w:rsidP="006F5295">
      <w:pPr>
        <w:pStyle w:val="paragraph"/>
        <w:spacing w:after="0"/>
        <w:jc w:val="both"/>
        <w:textAlignment w:val="baseline"/>
        <w:rPr>
          <w:rFonts w:ascii="Century Gothic" w:hAnsi="Century Gothic" w:cs="Segoe UI"/>
          <w:b/>
          <w:bCs/>
          <w:sz w:val="20"/>
          <w:szCs w:val="20"/>
          <w:u w:val="single"/>
        </w:rPr>
      </w:pPr>
      <w:r w:rsidRPr="00310297">
        <w:rPr>
          <w:rFonts w:ascii="Century Gothic" w:hAnsi="Century Gothic" w:cs="Segoe UI"/>
          <w:b/>
          <w:bCs/>
          <w:sz w:val="20"/>
          <w:szCs w:val="20"/>
          <w:u w:val="single"/>
        </w:rPr>
        <w:t>Opposition Argument:</w:t>
      </w:r>
      <w:r w:rsidRPr="00310297">
        <w:rPr>
          <w:rFonts w:ascii="Century Gothic" w:hAnsi="Century Gothic" w:cs="Segoe UI"/>
          <w:sz w:val="20"/>
          <w:szCs w:val="20"/>
        </w:rPr>
        <w:t xml:space="preserve"> Copa</w:t>
      </w:r>
      <w:r w:rsidR="00DF1197">
        <w:rPr>
          <w:rFonts w:ascii="Century Gothic" w:hAnsi="Century Gothic" w:cs="Segoe UI"/>
          <w:sz w:val="20"/>
          <w:szCs w:val="20"/>
        </w:rPr>
        <w:t>y Assistance/</w:t>
      </w:r>
      <w:r w:rsidRPr="00310297">
        <w:rPr>
          <w:rFonts w:ascii="Century Gothic" w:hAnsi="Century Gothic" w:cs="Segoe UI"/>
          <w:sz w:val="20"/>
          <w:szCs w:val="20"/>
        </w:rPr>
        <w:t>Coupons Guide Patient Decision-Making</w:t>
      </w:r>
    </w:p>
    <w:p w14:paraId="532DD128" w14:textId="6A96E0F2" w:rsidR="00310297" w:rsidRDefault="00310297" w:rsidP="006F5295">
      <w:pPr>
        <w:pStyle w:val="paragraph"/>
        <w:spacing w:after="0"/>
        <w:jc w:val="both"/>
        <w:textAlignment w:val="baseline"/>
        <w:rPr>
          <w:rFonts w:ascii="Century Gothic" w:hAnsi="Century Gothic" w:cs="Segoe UI"/>
          <w:sz w:val="20"/>
          <w:szCs w:val="20"/>
        </w:rPr>
      </w:pPr>
      <w:r w:rsidRPr="00310297">
        <w:rPr>
          <w:rFonts w:ascii="Century Gothic" w:hAnsi="Century Gothic" w:cs="Segoe UI"/>
          <w:b/>
          <w:bCs/>
          <w:sz w:val="20"/>
          <w:szCs w:val="20"/>
          <w:u w:val="single"/>
        </w:rPr>
        <w:t>Counter:</w:t>
      </w:r>
      <w:r w:rsidRPr="00310297">
        <w:rPr>
          <w:rFonts w:ascii="Century Gothic" w:hAnsi="Century Gothic" w:cs="Segoe UI"/>
          <w:sz w:val="20"/>
          <w:szCs w:val="20"/>
        </w:rPr>
        <w:t xml:space="preserve"> Copay assistance is used within the plan design of the insurers and PBMs. As stated </w:t>
      </w:r>
      <w:r w:rsidR="00907524">
        <w:rPr>
          <w:rFonts w:ascii="Century Gothic" w:hAnsi="Century Gothic" w:cs="Segoe UI"/>
          <w:sz w:val="20"/>
          <w:szCs w:val="20"/>
        </w:rPr>
        <w:t>previously</w:t>
      </w:r>
      <w:r w:rsidRPr="00310297">
        <w:rPr>
          <w:rFonts w:ascii="Century Gothic" w:hAnsi="Century Gothic" w:cs="Segoe UI"/>
          <w:sz w:val="20"/>
          <w:szCs w:val="20"/>
        </w:rPr>
        <w:t>, copay assistance only becomes a factor for a medication once an insurance company has granted approval for the patient to utilize that medication.</w:t>
      </w:r>
    </w:p>
    <w:p w14:paraId="58C73070" w14:textId="50C1D7C1" w:rsidR="00907524" w:rsidRPr="00310297" w:rsidRDefault="00795500" w:rsidP="006F5295">
      <w:pPr>
        <w:pStyle w:val="paragraph"/>
        <w:spacing w:after="0"/>
        <w:jc w:val="both"/>
        <w:textAlignment w:val="baseline"/>
        <w:rPr>
          <w:rFonts w:ascii="Century Gothic" w:hAnsi="Century Gothic" w:cs="Segoe UI"/>
          <w:sz w:val="20"/>
          <w:szCs w:val="20"/>
        </w:rPr>
      </w:pPr>
      <w:r>
        <w:rPr>
          <w:rFonts w:ascii="Century Gothic" w:hAnsi="Century Gothic" w:cs="Segoe UI"/>
          <w:sz w:val="20"/>
          <w:szCs w:val="20"/>
        </w:rPr>
        <w:t>The o</w:t>
      </w:r>
      <w:r w:rsidR="00A5113E">
        <w:rPr>
          <w:rFonts w:ascii="Century Gothic" w:hAnsi="Century Gothic" w:cs="Segoe UI"/>
          <w:sz w:val="20"/>
          <w:szCs w:val="20"/>
        </w:rPr>
        <w:t xml:space="preserve">pposition likes to describe copay assistance </w:t>
      </w:r>
      <w:r w:rsidR="00E436D8">
        <w:rPr>
          <w:rFonts w:ascii="Century Gothic" w:hAnsi="Century Gothic" w:cs="Segoe UI"/>
          <w:sz w:val="20"/>
          <w:szCs w:val="20"/>
        </w:rPr>
        <w:t xml:space="preserve">as “coupons” </w:t>
      </w:r>
      <w:r w:rsidR="00800CF4">
        <w:rPr>
          <w:rFonts w:ascii="Century Gothic" w:hAnsi="Century Gothic" w:cs="Segoe UI"/>
          <w:sz w:val="20"/>
          <w:szCs w:val="20"/>
        </w:rPr>
        <w:t>because for other products, coupons can guide decision-making on behalf of the consumer. However, c</w:t>
      </w:r>
      <w:r w:rsidR="00907524" w:rsidRPr="00907524">
        <w:rPr>
          <w:rFonts w:ascii="Century Gothic" w:hAnsi="Century Gothic" w:cs="Segoe UI"/>
          <w:sz w:val="20"/>
          <w:szCs w:val="20"/>
        </w:rPr>
        <w:t>oupons for other products do not have other stakeholders</w:t>
      </w:r>
      <w:r w:rsidR="00176FB0">
        <w:rPr>
          <w:rFonts w:ascii="Century Gothic" w:hAnsi="Century Gothic" w:cs="Segoe UI"/>
          <w:sz w:val="20"/>
          <w:szCs w:val="20"/>
        </w:rPr>
        <w:t xml:space="preserve"> (i.e. insurers and pharmacy benefit managers)</w:t>
      </w:r>
      <w:r w:rsidR="00907524" w:rsidRPr="00907524">
        <w:rPr>
          <w:rFonts w:ascii="Century Gothic" w:hAnsi="Century Gothic" w:cs="Segoe UI"/>
          <w:sz w:val="20"/>
          <w:szCs w:val="20"/>
        </w:rPr>
        <w:t xml:space="preserve"> within the process like </w:t>
      </w:r>
      <w:r w:rsidR="001257A4">
        <w:rPr>
          <w:rFonts w:ascii="Century Gothic" w:hAnsi="Century Gothic" w:cs="Segoe UI"/>
          <w:sz w:val="20"/>
          <w:szCs w:val="20"/>
        </w:rPr>
        <w:t>there is</w:t>
      </w:r>
      <w:r w:rsidR="00907524" w:rsidRPr="00907524">
        <w:rPr>
          <w:rFonts w:ascii="Century Gothic" w:hAnsi="Century Gothic" w:cs="Segoe UI"/>
          <w:sz w:val="20"/>
          <w:szCs w:val="20"/>
        </w:rPr>
        <w:t xml:space="preserve"> with medications. There is no one in the aisle of the grocery store telling </w:t>
      </w:r>
      <w:r w:rsidR="001257A4">
        <w:rPr>
          <w:rFonts w:ascii="Century Gothic" w:hAnsi="Century Gothic" w:cs="Segoe UI"/>
          <w:sz w:val="20"/>
          <w:szCs w:val="20"/>
        </w:rPr>
        <w:t>a consumer</w:t>
      </w:r>
      <w:r w:rsidR="00907524" w:rsidRPr="00907524">
        <w:rPr>
          <w:rFonts w:ascii="Century Gothic" w:hAnsi="Century Gothic" w:cs="Segoe UI"/>
          <w:sz w:val="20"/>
          <w:szCs w:val="20"/>
        </w:rPr>
        <w:t xml:space="preserve"> that </w:t>
      </w:r>
      <w:r w:rsidR="001257A4">
        <w:rPr>
          <w:rFonts w:ascii="Century Gothic" w:hAnsi="Century Gothic" w:cs="Segoe UI"/>
          <w:sz w:val="20"/>
          <w:szCs w:val="20"/>
        </w:rPr>
        <w:t>they</w:t>
      </w:r>
      <w:r w:rsidR="00907524" w:rsidRPr="00907524">
        <w:rPr>
          <w:rFonts w:ascii="Century Gothic" w:hAnsi="Century Gothic" w:cs="Segoe UI"/>
          <w:sz w:val="20"/>
          <w:szCs w:val="20"/>
        </w:rPr>
        <w:t xml:space="preserve"> have to first purchase the store-brand product before using </w:t>
      </w:r>
      <w:r w:rsidR="00A02A1B">
        <w:rPr>
          <w:rFonts w:ascii="Century Gothic" w:hAnsi="Century Gothic" w:cs="Segoe UI"/>
          <w:sz w:val="20"/>
          <w:szCs w:val="20"/>
        </w:rPr>
        <w:t>their</w:t>
      </w:r>
      <w:r w:rsidR="00907524" w:rsidRPr="00907524">
        <w:rPr>
          <w:rFonts w:ascii="Century Gothic" w:hAnsi="Century Gothic" w:cs="Segoe UI"/>
          <w:sz w:val="20"/>
          <w:szCs w:val="20"/>
        </w:rPr>
        <w:t xml:space="preserve"> coupon on the brand name product.</w:t>
      </w:r>
    </w:p>
    <w:p w14:paraId="1FBDDBC7" w14:textId="78E98BA2" w:rsidR="00310297" w:rsidRPr="00310297" w:rsidRDefault="00795500" w:rsidP="006F5295">
      <w:pPr>
        <w:pStyle w:val="paragraph"/>
        <w:spacing w:after="0"/>
        <w:jc w:val="both"/>
        <w:textAlignment w:val="baseline"/>
        <w:rPr>
          <w:rFonts w:ascii="Century Gothic" w:hAnsi="Century Gothic" w:cs="Segoe UI"/>
          <w:sz w:val="20"/>
          <w:szCs w:val="20"/>
        </w:rPr>
      </w:pPr>
      <w:r>
        <w:rPr>
          <w:rFonts w:ascii="Century Gothic" w:hAnsi="Century Gothic" w:cs="Segoe UI"/>
          <w:sz w:val="20"/>
          <w:szCs w:val="20"/>
        </w:rPr>
        <w:t>U</w:t>
      </w:r>
      <w:r w:rsidR="00310297" w:rsidRPr="00310297">
        <w:rPr>
          <w:rFonts w:ascii="Century Gothic" w:hAnsi="Century Gothic" w:cs="Segoe UI"/>
          <w:sz w:val="20"/>
          <w:szCs w:val="20"/>
        </w:rPr>
        <w:t xml:space="preserve">nlike coupons, copay assistance are real funds being transferred from one party to another. </w:t>
      </w:r>
      <w:r w:rsidR="00A178FF">
        <w:rPr>
          <w:rFonts w:ascii="Century Gothic" w:hAnsi="Century Gothic" w:cs="Segoe UI"/>
          <w:sz w:val="20"/>
          <w:szCs w:val="20"/>
        </w:rPr>
        <w:t xml:space="preserve">Since this issue is addressing copay assistance rather than coupons, programs like </w:t>
      </w:r>
      <w:proofErr w:type="spellStart"/>
      <w:r w:rsidR="00A178FF">
        <w:rPr>
          <w:rFonts w:ascii="Century Gothic" w:hAnsi="Century Gothic" w:cs="Segoe UI"/>
          <w:sz w:val="20"/>
          <w:szCs w:val="20"/>
        </w:rPr>
        <w:t>GoodRx</w:t>
      </w:r>
      <w:proofErr w:type="spellEnd"/>
      <w:r w:rsidR="00A178FF">
        <w:rPr>
          <w:rFonts w:ascii="Century Gothic" w:hAnsi="Century Gothic" w:cs="Segoe UI"/>
          <w:sz w:val="20"/>
          <w:szCs w:val="20"/>
        </w:rPr>
        <w:t xml:space="preserve"> are not impacted. </w:t>
      </w:r>
    </w:p>
    <w:p w14:paraId="51A51884" w14:textId="77777777" w:rsidR="00310297" w:rsidRPr="00310297" w:rsidRDefault="00310297" w:rsidP="006F5295">
      <w:pPr>
        <w:pStyle w:val="paragraph"/>
        <w:spacing w:after="0"/>
        <w:jc w:val="both"/>
        <w:textAlignment w:val="baseline"/>
        <w:rPr>
          <w:rFonts w:ascii="Century Gothic" w:hAnsi="Century Gothic" w:cs="Segoe UI"/>
          <w:b/>
          <w:bCs/>
          <w:sz w:val="20"/>
          <w:szCs w:val="20"/>
          <w:u w:val="single"/>
        </w:rPr>
      </w:pPr>
    </w:p>
    <w:p w14:paraId="45AA54C6" w14:textId="77777777" w:rsidR="00310297" w:rsidRPr="00310297" w:rsidRDefault="00310297" w:rsidP="006F5295">
      <w:pPr>
        <w:pStyle w:val="paragraph"/>
        <w:spacing w:after="0"/>
        <w:jc w:val="both"/>
        <w:textAlignment w:val="baseline"/>
        <w:rPr>
          <w:rFonts w:ascii="Century Gothic" w:hAnsi="Century Gothic" w:cs="Segoe UI"/>
          <w:b/>
          <w:bCs/>
          <w:sz w:val="20"/>
          <w:szCs w:val="20"/>
          <w:u w:val="single"/>
        </w:rPr>
      </w:pPr>
      <w:r w:rsidRPr="00310297">
        <w:rPr>
          <w:rFonts w:ascii="Century Gothic" w:hAnsi="Century Gothic" w:cs="Segoe UI"/>
          <w:b/>
          <w:bCs/>
          <w:sz w:val="20"/>
          <w:szCs w:val="20"/>
          <w:u w:val="single"/>
        </w:rPr>
        <w:t xml:space="preserve">Opposition Argument: </w:t>
      </w:r>
      <w:r w:rsidRPr="00310297">
        <w:rPr>
          <w:rFonts w:ascii="Century Gothic" w:hAnsi="Century Gothic" w:cs="Segoe UI"/>
          <w:sz w:val="20"/>
          <w:szCs w:val="20"/>
        </w:rPr>
        <w:t>Insurers and PBMs Never See the Money from the Copay Assistance</w:t>
      </w:r>
      <w:r w:rsidRPr="00310297">
        <w:rPr>
          <w:rFonts w:ascii="Century Gothic" w:hAnsi="Century Gothic" w:cs="Segoe UI"/>
          <w:b/>
          <w:bCs/>
          <w:sz w:val="20"/>
          <w:szCs w:val="20"/>
          <w:u w:val="single"/>
        </w:rPr>
        <w:t xml:space="preserve">  </w:t>
      </w:r>
    </w:p>
    <w:p w14:paraId="3282FB15" w14:textId="77777777" w:rsidR="00310297" w:rsidRPr="00310297" w:rsidRDefault="00310297" w:rsidP="006F5295">
      <w:pPr>
        <w:pStyle w:val="paragraph"/>
        <w:spacing w:after="0"/>
        <w:jc w:val="both"/>
        <w:textAlignment w:val="baseline"/>
        <w:rPr>
          <w:rFonts w:ascii="Century Gothic" w:hAnsi="Century Gothic" w:cs="Segoe UI"/>
          <w:b/>
          <w:bCs/>
          <w:sz w:val="20"/>
          <w:szCs w:val="20"/>
          <w:u w:val="single"/>
        </w:rPr>
      </w:pPr>
      <w:r w:rsidRPr="00310297">
        <w:rPr>
          <w:rFonts w:ascii="Century Gothic" w:hAnsi="Century Gothic" w:cs="Segoe UI"/>
          <w:b/>
          <w:bCs/>
          <w:sz w:val="20"/>
          <w:szCs w:val="20"/>
          <w:u w:val="single"/>
        </w:rPr>
        <w:t>Counter:</w:t>
      </w:r>
      <w:r w:rsidRPr="00310297">
        <w:rPr>
          <w:rFonts w:ascii="Century Gothic" w:hAnsi="Century Gothic" w:cs="Segoe UI"/>
          <w:sz w:val="20"/>
          <w:szCs w:val="20"/>
        </w:rPr>
        <w:t xml:space="preserve"> When insurers exclude copay assistance payments from counting toward a patient’s deductible and out-of-pocket maximum, it is the insurer who is effectively paid twice. First, the copay assistance money covers what the patient owes out-of-pocket at the pharmacy. Then, because the insurer decides not to count the copay assistance payments, the insurer tells the </w:t>
      </w:r>
      <w:r w:rsidRPr="00310297">
        <w:rPr>
          <w:rFonts w:ascii="Century Gothic" w:hAnsi="Century Gothic" w:cs="Segoe UI"/>
          <w:sz w:val="20"/>
          <w:szCs w:val="20"/>
        </w:rPr>
        <w:lastRenderedPageBreak/>
        <w:t>patient (by way of the pharmacy) that the deductible has not been met. At this point, the patient has to either pay hundreds or thousands of dollars for their prescription or go home empty handed.</w:t>
      </w:r>
    </w:p>
    <w:p w14:paraId="65E73596" w14:textId="77777777" w:rsidR="00310297" w:rsidRPr="00310297" w:rsidRDefault="00310297" w:rsidP="006F5295">
      <w:pPr>
        <w:pStyle w:val="paragraph"/>
        <w:spacing w:after="0"/>
        <w:jc w:val="both"/>
        <w:textAlignment w:val="baseline"/>
        <w:rPr>
          <w:rFonts w:ascii="Century Gothic" w:hAnsi="Century Gothic" w:cs="Segoe UI"/>
          <w:b/>
          <w:bCs/>
          <w:sz w:val="20"/>
          <w:szCs w:val="20"/>
          <w:u w:val="single"/>
        </w:rPr>
      </w:pPr>
    </w:p>
    <w:p w14:paraId="71FF96FA" w14:textId="77777777" w:rsidR="00310297" w:rsidRPr="00310297" w:rsidRDefault="00310297" w:rsidP="006F5295">
      <w:pPr>
        <w:pStyle w:val="paragraph"/>
        <w:spacing w:after="0"/>
        <w:jc w:val="both"/>
        <w:textAlignment w:val="baseline"/>
        <w:rPr>
          <w:rFonts w:ascii="Century Gothic" w:hAnsi="Century Gothic" w:cs="Segoe UI"/>
          <w:b/>
          <w:bCs/>
          <w:sz w:val="20"/>
          <w:szCs w:val="20"/>
          <w:u w:val="single"/>
        </w:rPr>
      </w:pPr>
      <w:r w:rsidRPr="00310297">
        <w:rPr>
          <w:rFonts w:ascii="Century Gothic" w:hAnsi="Century Gothic" w:cs="Segoe UI"/>
          <w:b/>
          <w:bCs/>
          <w:sz w:val="20"/>
          <w:szCs w:val="20"/>
          <w:u w:val="single"/>
        </w:rPr>
        <w:t xml:space="preserve">Opposition Argument: </w:t>
      </w:r>
      <w:r w:rsidRPr="00310297">
        <w:rPr>
          <w:rFonts w:ascii="Century Gothic" w:hAnsi="Century Gothic" w:cs="Segoe UI"/>
          <w:sz w:val="20"/>
          <w:szCs w:val="20"/>
        </w:rPr>
        <w:t>Medicare and Medicaid Do Not Allow Copay Assistance</w:t>
      </w:r>
    </w:p>
    <w:p w14:paraId="754FECB4" w14:textId="04AB5AF5" w:rsidR="00310297" w:rsidRPr="00310297" w:rsidRDefault="00310297" w:rsidP="006F5295">
      <w:pPr>
        <w:pStyle w:val="paragraph"/>
        <w:spacing w:after="0"/>
        <w:jc w:val="both"/>
        <w:textAlignment w:val="baseline"/>
        <w:rPr>
          <w:rFonts w:ascii="Century Gothic" w:hAnsi="Century Gothic" w:cs="Segoe UI"/>
          <w:sz w:val="20"/>
          <w:szCs w:val="20"/>
        </w:rPr>
      </w:pPr>
      <w:r w:rsidRPr="00310297">
        <w:rPr>
          <w:rFonts w:ascii="Century Gothic" w:hAnsi="Century Gothic" w:cs="Segoe UI"/>
          <w:b/>
          <w:bCs/>
          <w:sz w:val="20"/>
          <w:szCs w:val="20"/>
          <w:u w:val="single"/>
        </w:rPr>
        <w:t xml:space="preserve">Counter: </w:t>
      </w:r>
      <w:r w:rsidRPr="00310297">
        <w:rPr>
          <w:rFonts w:ascii="Century Gothic" w:hAnsi="Century Gothic" w:cs="Segoe UI"/>
          <w:sz w:val="20"/>
          <w:szCs w:val="20"/>
        </w:rPr>
        <w:t xml:space="preserve">Medicare and Medicaid do not allow copay assistance. However, there is a difference between an accumulator adjustment program and a ban on copay assistance. Accumulator adjustment programs restrict the funds from counting </w:t>
      </w:r>
      <w:r w:rsidR="009D0BAE">
        <w:rPr>
          <w:rFonts w:ascii="Century Gothic" w:hAnsi="Century Gothic" w:cs="Segoe UI"/>
          <w:sz w:val="20"/>
          <w:szCs w:val="20"/>
        </w:rPr>
        <w:t xml:space="preserve">towards a </w:t>
      </w:r>
      <w:r w:rsidR="00A477DB">
        <w:rPr>
          <w:rFonts w:ascii="Century Gothic" w:hAnsi="Century Gothic" w:cs="Segoe UI"/>
          <w:sz w:val="20"/>
          <w:szCs w:val="20"/>
        </w:rPr>
        <w:t>patient’s</w:t>
      </w:r>
      <w:r w:rsidR="009D0BAE">
        <w:rPr>
          <w:rFonts w:ascii="Century Gothic" w:hAnsi="Century Gothic" w:cs="Segoe UI"/>
          <w:sz w:val="20"/>
          <w:szCs w:val="20"/>
        </w:rPr>
        <w:t xml:space="preserve"> cost-sharing, such as their dedituble or maximum out-ot-pocket cost. </w:t>
      </w:r>
    </w:p>
    <w:p w14:paraId="08053399" w14:textId="61736F3F" w:rsidR="002A7142" w:rsidRDefault="009D53CB" w:rsidP="006F5295">
      <w:pPr>
        <w:pStyle w:val="paragraph"/>
        <w:spacing w:after="0"/>
        <w:jc w:val="both"/>
        <w:textAlignment w:val="baseline"/>
        <w:rPr>
          <w:rFonts w:ascii="Century Gothic" w:hAnsi="Century Gothic" w:cs="Segoe UI"/>
          <w:sz w:val="20"/>
          <w:szCs w:val="20"/>
        </w:rPr>
      </w:pPr>
      <w:r w:rsidRPr="009D53CB">
        <w:rPr>
          <w:rFonts w:ascii="Century Gothic" w:hAnsi="Century Gothic" w:cs="Segoe UI"/>
          <w:sz w:val="20"/>
          <w:szCs w:val="20"/>
        </w:rPr>
        <w:t>Insurers and PBMs have attempted to equate their private companies with the federal government programs. Although Medicare and Medicaid have restrictions on copay assistance, those programs have vastly different benefit models than private plans. In 2021, deductibles in Medicare Part D may not exceed $445. By comparison, the average deductible for an ACA silver level plan this year is $4,879, with many plan deductibles climbing upwards of $7,000.</w:t>
      </w:r>
      <w:r w:rsidRPr="009D53CB">
        <w:rPr>
          <w:rFonts w:ascii="Century Gothic" w:hAnsi="Century Gothic" w:cs="Segoe UI"/>
          <w:sz w:val="20"/>
          <w:szCs w:val="20"/>
          <w:vertAlign w:val="superscript"/>
        </w:rPr>
        <w:footnoteReference w:id="3"/>
      </w:r>
      <w:r w:rsidRPr="009D53CB">
        <w:rPr>
          <w:rFonts w:ascii="Century Gothic" w:hAnsi="Century Gothic" w:cs="Segoe UI"/>
          <w:sz w:val="20"/>
          <w:szCs w:val="20"/>
        </w:rPr>
        <w:t xml:space="preserve"> It would not be an accurate or fair comparison to evaluate the models employed by insurers and PBMs against Medicare and Medicaid.</w:t>
      </w:r>
    </w:p>
    <w:p w14:paraId="247FC118" w14:textId="77777777" w:rsidR="004145BF" w:rsidRPr="00310297" w:rsidRDefault="004145BF" w:rsidP="006F5295">
      <w:pPr>
        <w:pStyle w:val="paragraph"/>
        <w:spacing w:after="0"/>
        <w:jc w:val="both"/>
        <w:textAlignment w:val="baseline"/>
        <w:rPr>
          <w:rFonts w:ascii="Century Gothic" w:hAnsi="Century Gothic" w:cs="Segoe UI"/>
          <w:b/>
          <w:bCs/>
          <w:sz w:val="20"/>
          <w:szCs w:val="20"/>
          <w:u w:val="single"/>
        </w:rPr>
      </w:pPr>
    </w:p>
    <w:p w14:paraId="6607CE14" w14:textId="77777777" w:rsidR="00310297" w:rsidRPr="00310297" w:rsidRDefault="00310297" w:rsidP="006F5295">
      <w:pPr>
        <w:pStyle w:val="paragraph"/>
        <w:spacing w:after="0"/>
        <w:jc w:val="both"/>
        <w:textAlignment w:val="baseline"/>
        <w:rPr>
          <w:rFonts w:ascii="Century Gothic" w:hAnsi="Century Gothic" w:cs="Segoe UI"/>
          <w:b/>
          <w:bCs/>
          <w:sz w:val="20"/>
          <w:szCs w:val="20"/>
          <w:u w:val="single"/>
        </w:rPr>
      </w:pPr>
      <w:r w:rsidRPr="00310297">
        <w:rPr>
          <w:rFonts w:ascii="Century Gothic" w:hAnsi="Century Gothic" w:cs="Segoe UI"/>
          <w:b/>
          <w:bCs/>
          <w:sz w:val="20"/>
          <w:szCs w:val="20"/>
          <w:u w:val="single"/>
        </w:rPr>
        <w:t xml:space="preserve">Opposition Argument: </w:t>
      </w:r>
      <w:r w:rsidRPr="00310297">
        <w:rPr>
          <w:rFonts w:ascii="Century Gothic" w:hAnsi="Century Gothic" w:cs="Segoe UI"/>
          <w:sz w:val="20"/>
          <w:szCs w:val="20"/>
        </w:rPr>
        <w:t>California and Massachusetts Ban Copay Assistance</w:t>
      </w:r>
      <w:r w:rsidRPr="00310297">
        <w:rPr>
          <w:rFonts w:ascii="Century Gothic" w:hAnsi="Century Gothic" w:cs="Segoe UI"/>
          <w:b/>
          <w:bCs/>
          <w:sz w:val="20"/>
          <w:szCs w:val="20"/>
          <w:u w:val="single"/>
        </w:rPr>
        <w:t xml:space="preserve"> </w:t>
      </w:r>
    </w:p>
    <w:p w14:paraId="5479CA87" w14:textId="77777777" w:rsidR="00310297" w:rsidRPr="00310297" w:rsidRDefault="00310297" w:rsidP="006F5295">
      <w:pPr>
        <w:pStyle w:val="paragraph"/>
        <w:spacing w:after="0"/>
        <w:jc w:val="both"/>
        <w:textAlignment w:val="baseline"/>
        <w:rPr>
          <w:rFonts w:ascii="Century Gothic" w:hAnsi="Century Gothic" w:cs="Segoe UI"/>
          <w:sz w:val="20"/>
          <w:szCs w:val="20"/>
        </w:rPr>
      </w:pPr>
      <w:r w:rsidRPr="00310297">
        <w:rPr>
          <w:rFonts w:ascii="Century Gothic" w:hAnsi="Century Gothic" w:cs="Segoe UI"/>
          <w:b/>
          <w:bCs/>
          <w:sz w:val="20"/>
          <w:szCs w:val="20"/>
          <w:u w:val="single"/>
        </w:rPr>
        <w:t xml:space="preserve">Counter: </w:t>
      </w:r>
      <w:r w:rsidRPr="00310297">
        <w:rPr>
          <w:rFonts w:ascii="Century Gothic" w:hAnsi="Century Gothic" w:cs="Segoe UI"/>
          <w:sz w:val="20"/>
          <w:szCs w:val="20"/>
        </w:rPr>
        <w:t xml:space="preserve">California does not ban copay assistance. They do restrict copay assistance if a lower cost generic drug is covered under the individual’s health insurance. In addition, the prohibition does not apply if the patient has completed any applicable step therapy or prior authorization requirements for the branded prescription drug as mandated by the patient’s health insurance. </w:t>
      </w:r>
    </w:p>
    <w:p w14:paraId="5F5B8125" w14:textId="77777777" w:rsidR="00310297" w:rsidRPr="00310297" w:rsidRDefault="00310297" w:rsidP="006F5295">
      <w:pPr>
        <w:pStyle w:val="paragraph"/>
        <w:spacing w:after="0"/>
        <w:jc w:val="both"/>
        <w:textAlignment w:val="baseline"/>
        <w:rPr>
          <w:rFonts w:ascii="Century Gothic" w:hAnsi="Century Gothic" w:cs="Segoe UI"/>
          <w:sz w:val="20"/>
          <w:szCs w:val="20"/>
        </w:rPr>
      </w:pPr>
      <w:r w:rsidRPr="00310297">
        <w:rPr>
          <w:rFonts w:ascii="Century Gothic" w:hAnsi="Century Gothic" w:cs="Segoe UI"/>
          <w:sz w:val="20"/>
          <w:szCs w:val="20"/>
        </w:rPr>
        <w:t xml:space="preserve">Despite these restrictions for assistance in California, which are geared towards ensuring patients can’t be steered towards brand name medications when there are cheaper alternatives, 6 out of 11 insurers in the state had accumulator adjustment programs in 2021. Accordingly, this is a clear example that accumulator adjustment programs aren’t about steering patients to generics but rather shifting the costs to chronic disease patients. </w:t>
      </w:r>
    </w:p>
    <w:p w14:paraId="54765C0E" w14:textId="77777777" w:rsidR="00310297" w:rsidRPr="00310297" w:rsidRDefault="00310297" w:rsidP="006F5295">
      <w:pPr>
        <w:pStyle w:val="paragraph"/>
        <w:spacing w:after="0"/>
        <w:jc w:val="both"/>
        <w:textAlignment w:val="baseline"/>
        <w:rPr>
          <w:rFonts w:ascii="Century Gothic" w:hAnsi="Century Gothic" w:cs="Segoe UI"/>
          <w:sz w:val="20"/>
          <w:szCs w:val="20"/>
        </w:rPr>
      </w:pPr>
      <w:r w:rsidRPr="00310297">
        <w:rPr>
          <w:rFonts w:ascii="Century Gothic" w:hAnsi="Century Gothic" w:cs="Segoe UI"/>
          <w:sz w:val="20"/>
          <w:szCs w:val="20"/>
        </w:rPr>
        <w:t xml:space="preserve">In 2012, Massachusetts lawmakers enacted a law allowing for the use of manufacturer discounts. Prior to that, copay assistance was not allowed in the state. The 2012 bill was passed with a sunset provision, which has repeatedly been extended by the Massachusetts legislature. These extensions of the sunset provision occur as the legislature sees the need to ensure </w:t>
      </w:r>
      <w:proofErr w:type="spellStart"/>
      <w:r w:rsidRPr="00310297">
        <w:rPr>
          <w:rFonts w:ascii="Century Gothic" w:hAnsi="Century Gothic" w:cs="Segoe UI"/>
          <w:sz w:val="20"/>
          <w:szCs w:val="20"/>
        </w:rPr>
        <w:t>patient’s</w:t>
      </w:r>
      <w:proofErr w:type="spellEnd"/>
      <w:r w:rsidRPr="00310297">
        <w:rPr>
          <w:rFonts w:ascii="Century Gothic" w:hAnsi="Century Gothic" w:cs="Segoe UI"/>
          <w:sz w:val="20"/>
          <w:szCs w:val="20"/>
        </w:rPr>
        <w:t xml:space="preserve"> can stay adherent on their medications. In 2021, Massachusetts passed another extension of the sunset to allow assistance, and 7 out of the 9 insurers in the state responded by implementing accumulator adjustment programs. </w:t>
      </w:r>
    </w:p>
    <w:p w14:paraId="5BB66957" w14:textId="77777777" w:rsidR="00310297" w:rsidRPr="00310297" w:rsidRDefault="00310297" w:rsidP="006F5295">
      <w:pPr>
        <w:pStyle w:val="paragraph"/>
        <w:spacing w:after="0"/>
        <w:jc w:val="both"/>
        <w:textAlignment w:val="baseline"/>
        <w:rPr>
          <w:rFonts w:ascii="Century Gothic" w:hAnsi="Century Gothic" w:cs="Segoe UI"/>
          <w:b/>
          <w:bCs/>
          <w:sz w:val="20"/>
          <w:szCs w:val="20"/>
          <w:u w:val="single"/>
        </w:rPr>
      </w:pPr>
    </w:p>
    <w:p w14:paraId="7FF409CA" w14:textId="722B8DF3" w:rsidR="00310297" w:rsidRPr="00310297" w:rsidRDefault="00310297" w:rsidP="006F5295">
      <w:pPr>
        <w:pStyle w:val="paragraph"/>
        <w:spacing w:after="0"/>
        <w:jc w:val="both"/>
        <w:textAlignment w:val="baseline"/>
        <w:rPr>
          <w:rFonts w:ascii="Century Gothic" w:hAnsi="Century Gothic" w:cs="Segoe UI"/>
          <w:sz w:val="20"/>
          <w:szCs w:val="20"/>
        </w:rPr>
      </w:pPr>
      <w:r w:rsidRPr="00310297">
        <w:rPr>
          <w:rFonts w:ascii="Century Gothic" w:hAnsi="Century Gothic" w:cs="Segoe UI"/>
          <w:b/>
          <w:bCs/>
          <w:sz w:val="20"/>
          <w:szCs w:val="20"/>
          <w:u w:val="single"/>
        </w:rPr>
        <w:lastRenderedPageBreak/>
        <w:t xml:space="preserve">Opposition Argument: </w:t>
      </w:r>
      <w:r w:rsidRPr="00310297">
        <w:rPr>
          <w:rFonts w:ascii="Century Gothic" w:hAnsi="Century Gothic" w:cs="Segoe UI"/>
          <w:sz w:val="20"/>
          <w:szCs w:val="20"/>
        </w:rPr>
        <w:t xml:space="preserve">The Notice of Benefit and Payment </w:t>
      </w:r>
      <w:r w:rsidR="00BB4E19">
        <w:rPr>
          <w:rFonts w:ascii="Century Gothic" w:hAnsi="Century Gothic" w:cs="Segoe UI"/>
          <w:sz w:val="20"/>
          <w:szCs w:val="20"/>
        </w:rPr>
        <w:t>Parameters</w:t>
      </w:r>
      <w:r w:rsidRPr="00310297">
        <w:rPr>
          <w:rFonts w:ascii="Century Gothic" w:hAnsi="Century Gothic" w:cs="Segoe UI"/>
          <w:sz w:val="20"/>
          <w:szCs w:val="20"/>
        </w:rPr>
        <w:t xml:space="preserve"> Allow Insurers and PBMs to Use Accumulator Adjustment Programs</w:t>
      </w:r>
    </w:p>
    <w:p w14:paraId="50288CC2" w14:textId="77777777" w:rsidR="00310297" w:rsidRPr="00310297" w:rsidRDefault="00310297" w:rsidP="006F5295">
      <w:pPr>
        <w:pStyle w:val="paragraph"/>
        <w:spacing w:after="0"/>
        <w:jc w:val="both"/>
        <w:textAlignment w:val="baseline"/>
        <w:rPr>
          <w:rFonts w:ascii="Century Gothic" w:hAnsi="Century Gothic" w:cs="Segoe UI"/>
          <w:sz w:val="20"/>
          <w:szCs w:val="20"/>
        </w:rPr>
      </w:pPr>
      <w:r w:rsidRPr="00310297">
        <w:rPr>
          <w:rFonts w:ascii="Century Gothic" w:hAnsi="Century Gothic" w:cs="Segoe UI"/>
          <w:b/>
          <w:bCs/>
          <w:sz w:val="20"/>
          <w:szCs w:val="20"/>
          <w:u w:val="single"/>
        </w:rPr>
        <w:t>Counter:</w:t>
      </w:r>
      <w:r w:rsidRPr="00310297">
        <w:rPr>
          <w:rFonts w:ascii="Century Gothic" w:hAnsi="Century Gothic" w:cs="Segoe UI"/>
          <w:sz w:val="20"/>
          <w:szCs w:val="20"/>
        </w:rPr>
        <w:t xml:space="preserve"> It is important to note that the most recent final Notice of Benefit Payment Parameters (NBPP) by the Department of Health and Human Services (HHS) stated that insurers/PBMs have discretion to exclude manufacturer cost-sharing from counting towards an enrollee’s annual limit on cost-sharing but that does not preempt state laws. As further described in the NBPP 2021 Final Rule, “issuers and group health plans will continue to have flexibility, subject to state law… to determine if and how to factor in direct drug manufacturer support amounts towards the annual limitation on cost sharing.”</w:t>
      </w:r>
      <w:r w:rsidRPr="00310297">
        <w:rPr>
          <w:rFonts w:ascii="Century Gothic" w:hAnsi="Century Gothic" w:cs="Segoe UI"/>
          <w:sz w:val="20"/>
          <w:szCs w:val="20"/>
          <w:vertAlign w:val="superscript"/>
        </w:rPr>
        <w:footnoteReference w:id="4"/>
      </w:r>
      <w:r w:rsidRPr="00310297">
        <w:rPr>
          <w:rFonts w:ascii="Century Gothic" w:hAnsi="Century Gothic" w:cs="Segoe UI"/>
          <w:sz w:val="20"/>
          <w:szCs w:val="20"/>
        </w:rPr>
        <w:t xml:space="preserve"> Based on its clear language, HHS’ regulation does not require states to change their policies. To the contrary, it explicitly gives states the responsibility to decide whether or not to permit accumulator adjustment programs. </w:t>
      </w:r>
    </w:p>
    <w:p w14:paraId="3EACCA6A" w14:textId="77777777" w:rsidR="00310297" w:rsidRPr="00310297" w:rsidRDefault="00310297" w:rsidP="006F5295">
      <w:pPr>
        <w:pStyle w:val="paragraph"/>
        <w:spacing w:after="0"/>
        <w:jc w:val="both"/>
        <w:textAlignment w:val="baseline"/>
        <w:rPr>
          <w:rFonts w:ascii="Century Gothic" w:hAnsi="Century Gothic" w:cs="Segoe UI"/>
          <w:b/>
          <w:bCs/>
          <w:sz w:val="20"/>
          <w:szCs w:val="20"/>
          <w:u w:val="single"/>
        </w:rPr>
      </w:pPr>
    </w:p>
    <w:p w14:paraId="05DE197B" w14:textId="77777777" w:rsidR="00310297" w:rsidRPr="00310297" w:rsidRDefault="00310297" w:rsidP="006F5295">
      <w:pPr>
        <w:pStyle w:val="paragraph"/>
        <w:spacing w:after="0"/>
        <w:jc w:val="both"/>
        <w:textAlignment w:val="baseline"/>
        <w:rPr>
          <w:rFonts w:ascii="Century Gothic" w:hAnsi="Century Gothic" w:cs="Segoe UI"/>
          <w:b/>
          <w:bCs/>
          <w:sz w:val="20"/>
          <w:szCs w:val="20"/>
          <w:u w:val="single"/>
        </w:rPr>
      </w:pPr>
      <w:r w:rsidRPr="00310297">
        <w:rPr>
          <w:rFonts w:ascii="Century Gothic" w:hAnsi="Century Gothic" w:cs="Segoe UI"/>
          <w:b/>
          <w:bCs/>
          <w:sz w:val="20"/>
          <w:szCs w:val="20"/>
          <w:u w:val="single"/>
        </w:rPr>
        <w:t xml:space="preserve">Opposition Argument: </w:t>
      </w:r>
      <w:r w:rsidRPr="00310297">
        <w:rPr>
          <w:rFonts w:ascii="Century Gothic" w:hAnsi="Century Gothic" w:cs="Segoe UI"/>
          <w:sz w:val="20"/>
          <w:szCs w:val="20"/>
        </w:rPr>
        <w:t>Premiums Will Go Up if Insurers and PBMs Ensure that All Copays Count</w:t>
      </w:r>
    </w:p>
    <w:p w14:paraId="0A7BFC63" w14:textId="77777777" w:rsidR="004145BF" w:rsidRDefault="00310297" w:rsidP="006F5295">
      <w:pPr>
        <w:pStyle w:val="paragraph"/>
        <w:spacing w:after="0"/>
        <w:jc w:val="both"/>
        <w:textAlignment w:val="baseline"/>
        <w:rPr>
          <w:rFonts w:ascii="Century Gothic" w:hAnsi="Century Gothic" w:cs="Segoe UI"/>
          <w:sz w:val="20"/>
          <w:szCs w:val="20"/>
        </w:rPr>
      </w:pPr>
      <w:r w:rsidRPr="00310297">
        <w:rPr>
          <w:rFonts w:ascii="Century Gothic" w:hAnsi="Century Gothic" w:cs="Segoe UI"/>
          <w:b/>
          <w:bCs/>
          <w:sz w:val="20"/>
          <w:szCs w:val="20"/>
          <w:u w:val="single"/>
        </w:rPr>
        <w:t xml:space="preserve">Counter: </w:t>
      </w:r>
      <w:r w:rsidRPr="00310297">
        <w:rPr>
          <w:rFonts w:ascii="Century Gothic" w:hAnsi="Century Gothic" w:cs="Segoe UI"/>
          <w:sz w:val="20"/>
          <w:szCs w:val="20"/>
        </w:rPr>
        <w:t>In examining the justifications for rate changes in states that have enacted legislation, such as Virginia and Arizona, to ensure that all copays count, insurers gave no clear evidence that issuers were using copay accumulators to justify a rate increase. If copay accumulators are a factor in the issuers’ rate determination, it is not clearly evident in their descriptions.</w:t>
      </w:r>
    </w:p>
    <w:p w14:paraId="4F2832DC" w14:textId="79DFA333" w:rsidR="00310297" w:rsidRPr="00310297" w:rsidRDefault="004145BF" w:rsidP="006F5295">
      <w:pPr>
        <w:pStyle w:val="paragraph"/>
        <w:spacing w:after="0"/>
        <w:jc w:val="both"/>
        <w:textAlignment w:val="baseline"/>
        <w:rPr>
          <w:rFonts w:ascii="Century Gothic" w:hAnsi="Century Gothic" w:cs="Segoe UI"/>
          <w:sz w:val="20"/>
          <w:szCs w:val="20"/>
        </w:rPr>
      </w:pPr>
      <w:r>
        <w:rPr>
          <w:rFonts w:ascii="Century Gothic" w:hAnsi="Century Gothic" w:cs="Segoe UI"/>
          <w:sz w:val="20"/>
          <w:szCs w:val="20"/>
        </w:rPr>
        <w:t>I</w:t>
      </w:r>
      <w:r w:rsidR="00310297" w:rsidRPr="00310297">
        <w:rPr>
          <w:rFonts w:ascii="Century Gothic" w:hAnsi="Century Gothic" w:cs="Segoe UI"/>
          <w:sz w:val="20"/>
          <w:szCs w:val="20"/>
        </w:rPr>
        <w:t xml:space="preserve">nsurers have not brought forward rate changes in plans crediting the implementation </w:t>
      </w:r>
      <w:r w:rsidR="0008495C">
        <w:rPr>
          <w:rFonts w:ascii="Century Gothic" w:hAnsi="Century Gothic" w:cs="Segoe UI"/>
          <w:sz w:val="20"/>
          <w:szCs w:val="20"/>
        </w:rPr>
        <w:t xml:space="preserve">of </w:t>
      </w:r>
      <w:r w:rsidR="00310297" w:rsidRPr="00310297">
        <w:rPr>
          <w:rFonts w:ascii="Century Gothic" w:hAnsi="Century Gothic" w:cs="Segoe UI"/>
          <w:sz w:val="20"/>
          <w:szCs w:val="20"/>
        </w:rPr>
        <w:t xml:space="preserve">accumulator adjustment programs as a reason for premium decreases. If accumulator adjustment programs are not decreasing premiums, then there is no reason to believe that restricting them </w:t>
      </w:r>
      <w:r>
        <w:rPr>
          <w:rFonts w:ascii="Century Gothic" w:hAnsi="Century Gothic" w:cs="Segoe UI"/>
          <w:sz w:val="20"/>
          <w:szCs w:val="20"/>
        </w:rPr>
        <w:t xml:space="preserve">would </w:t>
      </w:r>
      <w:r w:rsidR="00310297" w:rsidRPr="00310297">
        <w:rPr>
          <w:rFonts w:ascii="Century Gothic" w:hAnsi="Century Gothic" w:cs="Segoe UI"/>
          <w:sz w:val="20"/>
          <w:szCs w:val="20"/>
        </w:rPr>
        <w:t>cause premium increases.</w:t>
      </w:r>
    </w:p>
    <w:p w14:paraId="5433FE28" w14:textId="77777777" w:rsidR="00310297" w:rsidRPr="00310297" w:rsidRDefault="00310297" w:rsidP="006F5295">
      <w:pPr>
        <w:pStyle w:val="paragraph"/>
        <w:spacing w:after="0"/>
        <w:jc w:val="both"/>
        <w:textAlignment w:val="baseline"/>
        <w:rPr>
          <w:rFonts w:ascii="Century Gothic" w:hAnsi="Century Gothic" w:cs="Segoe UI"/>
          <w:b/>
          <w:bCs/>
          <w:sz w:val="20"/>
          <w:szCs w:val="20"/>
          <w:u w:val="single"/>
        </w:rPr>
      </w:pPr>
    </w:p>
    <w:p w14:paraId="69AA355F" w14:textId="00C8E60D" w:rsidR="00310297" w:rsidRPr="00310297" w:rsidRDefault="00310297" w:rsidP="006F5295">
      <w:pPr>
        <w:pStyle w:val="paragraph"/>
        <w:spacing w:after="0"/>
        <w:jc w:val="both"/>
        <w:textAlignment w:val="baseline"/>
        <w:rPr>
          <w:rFonts w:ascii="Century Gothic" w:hAnsi="Century Gothic" w:cs="Segoe UI"/>
          <w:sz w:val="20"/>
          <w:szCs w:val="20"/>
        </w:rPr>
      </w:pPr>
      <w:r w:rsidRPr="00310297">
        <w:rPr>
          <w:rFonts w:ascii="Century Gothic" w:hAnsi="Century Gothic" w:cs="Segoe UI"/>
          <w:b/>
          <w:bCs/>
          <w:sz w:val="20"/>
          <w:szCs w:val="20"/>
          <w:u w:val="single"/>
        </w:rPr>
        <w:t xml:space="preserve">Opposition Argument: </w:t>
      </w:r>
      <w:r w:rsidRPr="00310297">
        <w:rPr>
          <w:rFonts w:ascii="Century Gothic" w:hAnsi="Century Gothic" w:cs="Segoe UI"/>
          <w:sz w:val="20"/>
          <w:szCs w:val="20"/>
        </w:rPr>
        <w:t xml:space="preserve">Legislation to </w:t>
      </w:r>
      <w:r w:rsidR="004C682A">
        <w:rPr>
          <w:rFonts w:ascii="Century Gothic" w:hAnsi="Century Gothic" w:cs="Segoe UI"/>
          <w:sz w:val="20"/>
          <w:szCs w:val="20"/>
        </w:rPr>
        <w:t>C</w:t>
      </w:r>
      <w:r w:rsidRPr="00310297">
        <w:rPr>
          <w:rFonts w:ascii="Century Gothic" w:hAnsi="Century Gothic" w:cs="Segoe UI"/>
          <w:sz w:val="20"/>
          <w:szCs w:val="20"/>
        </w:rPr>
        <w:t>ounter-</w:t>
      </w:r>
      <w:r w:rsidR="004C682A">
        <w:rPr>
          <w:rFonts w:ascii="Century Gothic" w:hAnsi="Century Gothic" w:cs="Segoe UI"/>
          <w:sz w:val="20"/>
          <w:szCs w:val="20"/>
        </w:rPr>
        <w:t>A</w:t>
      </w:r>
      <w:r w:rsidRPr="00310297">
        <w:rPr>
          <w:rFonts w:ascii="Century Gothic" w:hAnsi="Century Gothic" w:cs="Segoe UI"/>
          <w:sz w:val="20"/>
          <w:szCs w:val="20"/>
        </w:rPr>
        <w:t xml:space="preserve">ct </w:t>
      </w:r>
      <w:r w:rsidR="004C682A">
        <w:rPr>
          <w:rFonts w:ascii="Century Gothic" w:hAnsi="Century Gothic" w:cs="Segoe UI"/>
          <w:sz w:val="20"/>
          <w:szCs w:val="20"/>
        </w:rPr>
        <w:t>A</w:t>
      </w:r>
      <w:r w:rsidRPr="00310297">
        <w:rPr>
          <w:rFonts w:ascii="Century Gothic" w:hAnsi="Century Gothic" w:cs="Segoe UI"/>
          <w:sz w:val="20"/>
          <w:szCs w:val="20"/>
        </w:rPr>
        <w:t xml:space="preserve">ccumulator </w:t>
      </w:r>
      <w:r w:rsidR="004C682A">
        <w:rPr>
          <w:rFonts w:ascii="Century Gothic" w:hAnsi="Century Gothic" w:cs="Segoe UI"/>
          <w:sz w:val="20"/>
          <w:szCs w:val="20"/>
        </w:rPr>
        <w:t>A</w:t>
      </w:r>
      <w:r w:rsidRPr="00310297">
        <w:rPr>
          <w:rFonts w:ascii="Century Gothic" w:hAnsi="Century Gothic" w:cs="Segoe UI"/>
          <w:sz w:val="20"/>
          <w:szCs w:val="20"/>
        </w:rPr>
        <w:t xml:space="preserve">djustment </w:t>
      </w:r>
      <w:r w:rsidR="004C682A">
        <w:rPr>
          <w:rFonts w:ascii="Century Gothic" w:hAnsi="Century Gothic" w:cs="Segoe UI"/>
          <w:sz w:val="20"/>
          <w:szCs w:val="20"/>
        </w:rPr>
        <w:t>P</w:t>
      </w:r>
      <w:r w:rsidRPr="00310297">
        <w:rPr>
          <w:rFonts w:ascii="Century Gothic" w:hAnsi="Century Gothic" w:cs="Segoe UI"/>
          <w:sz w:val="20"/>
          <w:szCs w:val="20"/>
        </w:rPr>
        <w:t xml:space="preserve">rograms </w:t>
      </w:r>
      <w:r w:rsidR="004C682A">
        <w:rPr>
          <w:rFonts w:ascii="Century Gothic" w:hAnsi="Century Gothic" w:cs="Segoe UI"/>
          <w:sz w:val="20"/>
          <w:szCs w:val="20"/>
        </w:rPr>
        <w:t>D</w:t>
      </w:r>
      <w:r w:rsidRPr="00310297">
        <w:rPr>
          <w:rFonts w:ascii="Century Gothic" w:hAnsi="Century Gothic" w:cs="Segoe UI"/>
          <w:sz w:val="20"/>
          <w:szCs w:val="20"/>
        </w:rPr>
        <w:t xml:space="preserve">oes </w:t>
      </w:r>
      <w:r w:rsidR="004C682A">
        <w:rPr>
          <w:rFonts w:ascii="Century Gothic" w:hAnsi="Century Gothic" w:cs="Segoe UI"/>
          <w:sz w:val="20"/>
          <w:szCs w:val="20"/>
        </w:rPr>
        <w:t>N</w:t>
      </w:r>
      <w:r w:rsidRPr="00310297">
        <w:rPr>
          <w:rFonts w:ascii="Century Gothic" w:hAnsi="Century Gothic" w:cs="Segoe UI"/>
          <w:sz w:val="20"/>
          <w:szCs w:val="20"/>
        </w:rPr>
        <w:t xml:space="preserve">ot </w:t>
      </w:r>
      <w:r w:rsidR="004C682A">
        <w:rPr>
          <w:rFonts w:ascii="Century Gothic" w:hAnsi="Century Gothic" w:cs="Segoe UI"/>
          <w:sz w:val="20"/>
          <w:szCs w:val="20"/>
        </w:rPr>
        <w:t>M</w:t>
      </w:r>
      <w:r w:rsidRPr="00310297">
        <w:rPr>
          <w:rFonts w:ascii="Century Gothic" w:hAnsi="Century Gothic" w:cs="Segoe UI"/>
          <w:sz w:val="20"/>
          <w:szCs w:val="20"/>
        </w:rPr>
        <w:t>ention “</w:t>
      </w:r>
      <w:r w:rsidR="004C682A">
        <w:rPr>
          <w:rFonts w:ascii="Century Gothic" w:hAnsi="Century Gothic" w:cs="Segoe UI"/>
          <w:sz w:val="20"/>
          <w:szCs w:val="20"/>
        </w:rPr>
        <w:t>A</w:t>
      </w:r>
      <w:r w:rsidRPr="00310297">
        <w:rPr>
          <w:rFonts w:ascii="Century Gothic" w:hAnsi="Century Gothic" w:cs="Segoe UI"/>
          <w:sz w:val="20"/>
          <w:szCs w:val="20"/>
        </w:rPr>
        <w:t xml:space="preserve">ccumulator </w:t>
      </w:r>
      <w:r w:rsidR="004C682A">
        <w:rPr>
          <w:rFonts w:ascii="Century Gothic" w:hAnsi="Century Gothic" w:cs="Segoe UI"/>
          <w:sz w:val="20"/>
          <w:szCs w:val="20"/>
        </w:rPr>
        <w:t>A</w:t>
      </w:r>
      <w:r w:rsidRPr="00310297">
        <w:rPr>
          <w:rFonts w:ascii="Century Gothic" w:hAnsi="Century Gothic" w:cs="Segoe UI"/>
          <w:sz w:val="20"/>
          <w:szCs w:val="20"/>
        </w:rPr>
        <w:t xml:space="preserve">djustment </w:t>
      </w:r>
      <w:r w:rsidR="004C682A">
        <w:rPr>
          <w:rFonts w:ascii="Century Gothic" w:hAnsi="Century Gothic" w:cs="Segoe UI"/>
          <w:sz w:val="20"/>
          <w:szCs w:val="20"/>
        </w:rPr>
        <w:t>P</w:t>
      </w:r>
      <w:r w:rsidRPr="00310297">
        <w:rPr>
          <w:rFonts w:ascii="Century Gothic" w:hAnsi="Century Gothic" w:cs="Segoe UI"/>
          <w:sz w:val="20"/>
          <w:szCs w:val="20"/>
        </w:rPr>
        <w:t xml:space="preserve">rograms” and is </w:t>
      </w:r>
      <w:r w:rsidR="004C682A">
        <w:rPr>
          <w:rFonts w:ascii="Century Gothic" w:hAnsi="Century Gothic" w:cs="Segoe UI"/>
          <w:sz w:val="20"/>
          <w:szCs w:val="20"/>
        </w:rPr>
        <w:t>T</w:t>
      </w:r>
      <w:r w:rsidRPr="00310297">
        <w:rPr>
          <w:rFonts w:ascii="Century Gothic" w:hAnsi="Century Gothic" w:cs="Segoe UI"/>
          <w:sz w:val="20"/>
          <w:szCs w:val="20"/>
        </w:rPr>
        <w:t xml:space="preserve">oo </w:t>
      </w:r>
      <w:r w:rsidR="004C682A">
        <w:rPr>
          <w:rFonts w:ascii="Century Gothic" w:hAnsi="Century Gothic" w:cs="Segoe UI"/>
          <w:sz w:val="20"/>
          <w:szCs w:val="20"/>
        </w:rPr>
        <w:t>B</w:t>
      </w:r>
      <w:r w:rsidRPr="00310297">
        <w:rPr>
          <w:rFonts w:ascii="Century Gothic" w:hAnsi="Century Gothic" w:cs="Segoe UI"/>
          <w:sz w:val="20"/>
          <w:szCs w:val="20"/>
        </w:rPr>
        <w:t>road</w:t>
      </w:r>
    </w:p>
    <w:p w14:paraId="41CE6C7B" w14:textId="3EDD7CC6" w:rsidR="00310297" w:rsidRPr="00310297" w:rsidRDefault="00310297" w:rsidP="006F5295">
      <w:pPr>
        <w:pStyle w:val="paragraph"/>
        <w:spacing w:after="0"/>
        <w:jc w:val="both"/>
        <w:textAlignment w:val="baseline"/>
        <w:rPr>
          <w:rFonts w:ascii="Century Gothic" w:hAnsi="Century Gothic" w:cs="Segoe UI"/>
          <w:sz w:val="20"/>
          <w:szCs w:val="20"/>
        </w:rPr>
      </w:pPr>
      <w:r w:rsidRPr="00310297">
        <w:rPr>
          <w:rFonts w:ascii="Century Gothic" w:hAnsi="Century Gothic" w:cs="Segoe UI"/>
          <w:b/>
          <w:bCs/>
          <w:sz w:val="20"/>
          <w:szCs w:val="20"/>
          <w:u w:val="single"/>
        </w:rPr>
        <w:t xml:space="preserve">Counter: </w:t>
      </w:r>
      <w:r w:rsidRPr="00310297">
        <w:rPr>
          <w:rFonts w:ascii="Century Gothic" w:hAnsi="Century Gothic" w:cs="Segoe UI"/>
          <w:sz w:val="20"/>
          <w:szCs w:val="20"/>
        </w:rPr>
        <w:t>The All Copays Count Coalition, led by the patient and provider community, supports language that ensures that payment paid by the patient or on behalf of the patient count towards a patient’s cost-sharing requirements. Restricting the practice of accumulator adjustment programs solely by name will only lead to insurers and PBMs not calling their practice by that name. This language also protects against future escalation by the insure</w:t>
      </w:r>
      <w:r w:rsidR="00842C6E">
        <w:rPr>
          <w:rFonts w:ascii="Century Gothic" w:hAnsi="Century Gothic" w:cs="Segoe UI"/>
          <w:sz w:val="20"/>
          <w:szCs w:val="20"/>
        </w:rPr>
        <w:t>r</w:t>
      </w:r>
      <w:r w:rsidRPr="00310297">
        <w:rPr>
          <w:rFonts w:ascii="Century Gothic" w:hAnsi="Century Gothic" w:cs="Segoe UI"/>
          <w:sz w:val="20"/>
          <w:szCs w:val="20"/>
        </w:rPr>
        <w:t xml:space="preserve">s and PBMs in this space. </w:t>
      </w:r>
    </w:p>
    <w:p w14:paraId="272484E6" w14:textId="77777777" w:rsidR="00310297" w:rsidRPr="00310297" w:rsidRDefault="00310297" w:rsidP="006F5295">
      <w:pPr>
        <w:pStyle w:val="paragraph"/>
        <w:spacing w:after="0"/>
        <w:jc w:val="both"/>
        <w:textAlignment w:val="baseline"/>
        <w:rPr>
          <w:rFonts w:ascii="Century Gothic" w:hAnsi="Century Gothic" w:cs="Segoe UI"/>
          <w:b/>
          <w:bCs/>
          <w:sz w:val="20"/>
          <w:szCs w:val="20"/>
          <w:u w:val="single"/>
        </w:rPr>
      </w:pPr>
    </w:p>
    <w:p w14:paraId="3F0B39B5" w14:textId="665A0639" w:rsidR="00310297" w:rsidRPr="00310297" w:rsidRDefault="00310297" w:rsidP="006F5295">
      <w:pPr>
        <w:pStyle w:val="paragraph"/>
        <w:spacing w:after="0"/>
        <w:jc w:val="both"/>
        <w:textAlignment w:val="baseline"/>
        <w:rPr>
          <w:rFonts w:ascii="Century Gothic" w:hAnsi="Century Gothic" w:cs="Segoe UI"/>
          <w:b/>
          <w:bCs/>
          <w:sz w:val="20"/>
          <w:szCs w:val="20"/>
          <w:u w:val="single"/>
        </w:rPr>
      </w:pPr>
      <w:r w:rsidRPr="00310297">
        <w:rPr>
          <w:rFonts w:ascii="Century Gothic" w:hAnsi="Century Gothic" w:cs="Segoe UI"/>
          <w:b/>
          <w:bCs/>
          <w:sz w:val="20"/>
          <w:szCs w:val="20"/>
          <w:u w:val="single"/>
        </w:rPr>
        <w:t xml:space="preserve">Opposition Argument: </w:t>
      </w:r>
      <w:r w:rsidRPr="00310297">
        <w:rPr>
          <w:rFonts w:ascii="Century Gothic" w:hAnsi="Century Gothic" w:cs="Segoe UI"/>
          <w:sz w:val="20"/>
          <w:szCs w:val="20"/>
        </w:rPr>
        <w:t xml:space="preserve">There is </w:t>
      </w:r>
      <w:r w:rsidR="004C682A">
        <w:rPr>
          <w:rFonts w:ascii="Century Gothic" w:hAnsi="Century Gothic" w:cs="Segoe UI"/>
          <w:sz w:val="20"/>
          <w:szCs w:val="20"/>
        </w:rPr>
        <w:t>N</w:t>
      </w:r>
      <w:r w:rsidRPr="00310297">
        <w:rPr>
          <w:rFonts w:ascii="Century Gothic" w:hAnsi="Century Gothic" w:cs="Segoe UI"/>
          <w:sz w:val="20"/>
          <w:szCs w:val="20"/>
        </w:rPr>
        <w:t xml:space="preserve">o </w:t>
      </w:r>
      <w:r w:rsidR="004C682A">
        <w:rPr>
          <w:rFonts w:ascii="Century Gothic" w:hAnsi="Century Gothic" w:cs="Segoe UI"/>
          <w:sz w:val="20"/>
          <w:szCs w:val="20"/>
        </w:rPr>
        <w:t>R</w:t>
      </w:r>
      <w:r w:rsidRPr="00310297">
        <w:rPr>
          <w:rFonts w:ascii="Century Gothic" w:hAnsi="Century Gothic" w:cs="Segoe UI"/>
          <w:sz w:val="20"/>
          <w:szCs w:val="20"/>
        </w:rPr>
        <w:t xml:space="preserve">eason for </w:t>
      </w:r>
      <w:r w:rsidR="004C682A">
        <w:rPr>
          <w:rFonts w:ascii="Century Gothic" w:hAnsi="Century Gothic" w:cs="Segoe UI"/>
          <w:sz w:val="20"/>
          <w:szCs w:val="20"/>
        </w:rPr>
        <w:t>H</w:t>
      </w:r>
      <w:r w:rsidRPr="00310297">
        <w:rPr>
          <w:rFonts w:ascii="Century Gothic" w:hAnsi="Century Gothic" w:cs="Segoe UI"/>
          <w:sz w:val="20"/>
          <w:szCs w:val="20"/>
        </w:rPr>
        <w:t xml:space="preserve">ealth </w:t>
      </w:r>
      <w:r w:rsidR="004C682A">
        <w:rPr>
          <w:rFonts w:ascii="Century Gothic" w:hAnsi="Century Gothic" w:cs="Segoe UI"/>
          <w:sz w:val="20"/>
          <w:szCs w:val="20"/>
        </w:rPr>
        <w:t>C</w:t>
      </w:r>
      <w:r w:rsidRPr="00310297">
        <w:rPr>
          <w:rFonts w:ascii="Century Gothic" w:hAnsi="Century Gothic" w:cs="Segoe UI"/>
          <w:sz w:val="20"/>
          <w:szCs w:val="20"/>
        </w:rPr>
        <w:t xml:space="preserve">are </w:t>
      </w:r>
      <w:r w:rsidR="004C682A">
        <w:rPr>
          <w:rFonts w:ascii="Century Gothic" w:hAnsi="Century Gothic" w:cs="Segoe UI"/>
          <w:sz w:val="20"/>
          <w:szCs w:val="20"/>
        </w:rPr>
        <w:t>P</w:t>
      </w:r>
      <w:r w:rsidRPr="00310297">
        <w:rPr>
          <w:rFonts w:ascii="Century Gothic" w:hAnsi="Century Gothic" w:cs="Segoe UI"/>
          <w:sz w:val="20"/>
          <w:szCs w:val="20"/>
        </w:rPr>
        <w:t>rovider</w:t>
      </w:r>
      <w:r w:rsidR="004C682A">
        <w:rPr>
          <w:rFonts w:ascii="Century Gothic" w:hAnsi="Century Gothic" w:cs="Segoe UI"/>
          <w:sz w:val="20"/>
          <w:szCs w:val="20"/>
        </w:rPr>
        <w:t>s</w:t>
      </w:r>
      <w:r w:rsidRPr="00310297">
        <w:rPr>
          <w:rFonts w:ascii="Century Gothic" w:hAnsi="Century Gothic" w:cs="Segoe UI"/>
          <w:sz w:val="20"/>
          <w:szCs w:val="20"/>
        </w:rPr>
        <w:t xml:space="preserve"> to </w:t>
      </w:r>
      <w:r w:rsidR="004C682A">
        <w:rPr>
          <w:rFonts w:ascii="Century Gothic" w:hAnsi="Century Gothic" w:cs="Segoe UI"/>
          <w:sz w:val="20"/>
          <w:szCs w:val="20"/>
        </w:rPr>
        <w:t>W</w:t>
      </w:r>
      <w:r w:rsidRPr="00310297">
        <w:rPr>
          <w:rFonts w:ascii="Century Gothic" w:hAnsi="Century Gothic" w:cs="Segoe UI"/>
          <w:sz w:val="20"/>
          <w:szCs w:val="20"/>
        </w:rPr>
        <w:t>eigh-</w:t>
      </w:r>
      <w:r w:rsidR="004C682A">
        <w:rPr>
          <w:rFonts w:ascii="Century Gothic" w:hAnsi="Century Gothic" w:cs="Segoe UI"/>
          <w:sz w:val="20"/>
          <w:szCs w:val="20"/>
        </w:rPr>
        <w:t>I</w:t>
      </w:r>
      <w:r w:rsidRPr="00310297">
        <w:rPr>
          <w:rFonts w:ascii="Century Gothic" w:hAnsi="Century Gothic" w:cs="Segoe UI"/>
          <w:sz w:val="20"/>
          <w:szCs w:val="20"/>
        </w:rPr>
        <w:t xml:space="preserve">n on this </w:t>
      </w:r>
      <w:r w:rsidR="004C682A">
        <w:rPr>
          <w:rFonts w:ascii="Century Gothic" w:hAnsi="Century Gothic" w:cs="Segoe UI"/>
          <w:sz w:val="20"/>
          <w:szCs w:val="20"/>
        </w:rPr>
        <w:t>I</w:t>
      </w:r>
      <w:r w:rsidRPr="00310297">
        <w:rPr>
          <w:rFonts w:ascii="Century Gothic" w:hAnsi="Century Gothic" w:cs="Segoe UI"/>
          <w:sz w:val="20"/>
          <w:szCs w:val="20"/>
        </w:rPr>
        <w:t>ssue</w:t>
      </w:r>
    </w:p>
    <w:p w14:paraId="2CB1998A" w14:textId="7946E781" w:rsidR="00310297" w:rsidRPr="00310297" w:rsidRDefault="00310297" w:rsidP="006F5295">
      <w:pPr>
        <w:pStyle w:val="paragraph"/>
        <w:spacing w:after="0"/>
        <w:jc w:val="both"/>
        <w:textAlignment w:val="baseline"/>
        <w:rPr>
          <w:rFonts w:ascii="Century Gothic" w:hAnsi="Century Gothic" w:cs="Segoe UI"/>
          <w:b/>
          <w:bCs/>
          <w:sz w:val="20"/>
          <w:szCs w:val="20"/>
          <w:u w:val="single"/>
        </w:rPr>
      </w:pPr>
      <w:r w:rsidRPr="00310297">
        <w:rPr>
          <w:rFonts w:ascii="Century Gothic" w:hAnsi="Century Gothic" w:cs="Segoe UI"/>
          <w:b/>
          <w:bCs/>
          <w:sz w:val="20"/>
          <w:szCs w:val="20"/>
          <w:u w:val="single"/>
        </w:rPr>
        <w:lastRenderedPageBreak/>
        <w:t xml:space="preserve">Counter: </w:t>
      </w:r>
      <w:r w:rsidRPr="00310297">
        <w:rPr>
          <w:rFonts w:ascii="Century Gothic" w:hAnsi="Century Gothic" w:cs="Segoe UI"/>
          <w:sz w:val="20"/>
          <w:szCs w:val="20"/>
        </w:rPr>
        <w:t>Health care providers care about the health of their patients. Adherence is a crucial aspect of ensuring that their patients are healthy. Without copay assistance, patient</w:t>
      </w:r>
      <w:r w:rsidR="00A927B1">
        <w:rPr>
          <w:rFonts w:ascii="Century Gothic" w:hAnsi="Century Gothic" w:cs="Segoe UI"/>
          <w:sz w:val="20"/>
          <w:szCs w:val="20"/>
        </w:rPr>
        <w:t>s</w:t>
      </w:r>
      <w:r w:rsidRPr="00310297">
        <w:rPr>
          <w:rFonts w:ascii="Century Gothic" w:hAnsi="Century Gothic" w:cs="Segoe UI"/>
          <w:sz w:val="20"/>
          <w:szCs w:val="20"/>
        </w:rPr>
        <w:t xml:space="preserve"> could discontinue their treatment which would lead to negative health outcomes.</w:t>
      </w:r>
      <w:r w:rsidRPr="00310297">
        <w:rPr>
          <w:rFonts w:ascii="Century Gothic" w:hAnsi="Century Gothic" w:cs="Segoe UI"/>
          <w:b/>
          <w:bCs/>
          <w:sz w:val="20"/>
          <w:szCs w:val="20"/>
          <w:u w:val="single"/>
        </w:rPr>
        <w:t xml:space="preserve"> </w:t>
      </w:r>
    </w:p>
    <w:p w14:paraId="345C133B" w14:textId="0613B5C1" w:rsidR="00310297" w:rsidRDefault="00310297" w:rsidP="006F5295">
      <w:pPr>
        <w:pStyle w:val="paragraph"/>
        <w:spacing w:after="0"/>
        <w:jc w:val="both"/>
        <w:textAlignment w:val="baseline"/>
        <w:rPr>
          <w:rFonts w:ascii="Century Gothic" w:hAnsi="Century Gothic" w:cs="Segoe UI"/>
          <w:sz w:val="20"/>
          <w:szCs w:val="20"/>
        </w:rPr>
      </w:pPr>
      <w:r w:rsidRPr="00310297">
        <w:rPr>
          <w:rFonts w:ascii="Century Gothic" w:hAnsi="Century Gothic" w:cs="Segoe UI"/>
          <w:sz w:val="20"/>
          <w:szCs w:val="20"/>
        </w:rPr>
        <w:t>Also, insurers and PBMs have expressed a desire to implement accumulator adjustment programs on the medical benefit, along with the pharmacy benefit. To implement the programs on the medical benefit, insurers and PBMs have, or are considering, requir</w:t>
      </w:r>
      <w:r w:rsidR="00A927B1">
        <w:rPr>
          <w:rFonts w:ascii="Century Gothic" w:hAnsi="Century Gothic" w:cs="Segoe UI"/>
          <w:sz w:val="20"/>
          <w:szCs w:val="20"/>
        </w:rPr>
        <w:t>ing</w:t>
      </w:r>
      <w:r w:rsidRPr="00310297">
        <w:rPr>
          <w:rFonts w:ascii="Century Gothic" w:hAnsi="Century Gothic" w:cs="Segoe UI"/>
          <w:sz w:val="20"/>
          <w:szCs w:val="20"/>
        </w:rPr>
        <w:t xml:space="preserve"> a health care provider to disclose patient information about copay assistance to the insurers and PBMs. Asking</w:t>
      </w:r>
      <w:r w:rsidRPr="005A181D">
        <w:rPr>
          <w:rFonts w:ascii="Century Gothic" w:hAnsi="Century Gothic" w:cs="Segoe UI"/>
          <w:b/>
          <w:sz w:val="20"/>
          <w:szCs w:val="20"/>
        </w:rPr>
        <w:t xml:space="preserve"> </w:t>
      </w:r>
      <w:r w:rsidRPr="00310297">
        <w:rPr>
          <w:rFonts w:ascii="Century Gothic" w:hAnsi="Century Gothic" w:cs="Segoe UI"/>
          <w:sz w:val="20"/>
          <w:szCs w:val="20"/>
        </w:rPr>
        <w:t>physicians to report on the amount their patients receive in copay assistance will put them in an ethically objectionable position. As such, reporting this information would likely harm the patient as well as the doctor-patient relationship, and would be unethical under AMA guidelines.</w:t>
      </w:r>
    </w:p>
    <w:p w14:paraId="253C3E36" w14:textId="132B68C6" w:rsidR="004C682A" w:rsidRDefault="004C682A" w:rsidP="006F5295">
      <w:pPr>
        <w:pStyle w:val="paragraph"/>
        <w:spacing w:after="0"/>
        <w:jc w:val="both"/>
        <w:textAlignment w:val="baseline"/>
        <w:rPr>
          <w:rFonts w:ascii="Century Gothic" w:hAnsi="Century Gothic" w:cs="Segoe UI"/>
          <w:sz w:val="20"/>
          <w:szCs w:val="20"/>
        </w:rPr>
      </w:pPr>
    </w:p>
    <w:p w14:paraId="035F2E87" w14:textId="0CCE0BC8" w:rsidR="004C682A" w:rsidRDefault="004C682A" w:rsidP="006F5295">
      <w:pPr>
        <w:pStyle w:val="paragraph"/>
        <w:spacing w:after="0"/>
        <w:jc w:val="both"/>
        <w:textAlignment w:val="baseline"/>
        <w:rPr>
          <w:rFonts w:ascii="Century Gothic" w:hAnsi="Century Gothic" w:cs="Segoe UI"/>
          <w:sz w:val="20"/>
          <w:szCs w:val="20"/>
        </w:rPr>
      </w:pPr>
      <w:r w:rsidRPr="00686C5E">
        <w:rPr>
          <w:rFonts w:ascii="Century Gothic" w:hAnsi="Century Gothic" w:cs="Segoe UI"/>
          <w:b/>
          <w:bCs/>
          <w:sz w:val="20"/>
          <w:szCs w:val="20"/>
          <w:u w:val="single"/>
        </w:rPr>
        <w:t>Opposition Argument:</w:t>
      </w:r>
      <w:r>
        <w:rPr>
          <w:rFonts w:ascii="Century Gothic" w:hAnsi="Century Gothic" w:cs="Segoe UI"/>
          <w:sz w:val="20"/>
          <w:szCs w:val="20"/>
        </w:rPr>
        <w:t xml:space="preserve"> </w:t>
      </w:r>
      <w:r w:rsidR="00686C5E">
        <w:rPr>
          <w:rFonts w:ascii="Century Gothic" w:hAnsi="Century Gothic" w:cs="Segoe UI"/>
          <w:sz w:val="20"/>
          <w:szCs w:val="20"/>
        </w:rPr>
        <w:t>Patients Should Have “Skin in the Game”</w:t>
      </w:r>
    </w:p>
    <w:p w14:paraId="598128D1" w14:textId="4095DE8A" w:rsidR="00686C5E" w:rsidRDefault="00686C5E" w:rsidP="006F5295">
      <w:pPr>
        <w:pStyle w:val="paragraph"/>
        <w:spacing w:after="0"/>
        <w:jc w:val="both"/>
        <w:textAlignment w:val="baseline"/>
        <w:rPr>
          <w:rFonts w:ascii="Century Gothic" w:hAnsi="Century Gothic" w:cs="Segoe UI"/>
          <w:b/>
          <w:bCs/>
          <w:sz w:val="20"/>
          <w:szCs w:val="20"/>
          <w:u w:val="single"/>
        </w:rPr>
      </w:pPr>
      <w:r w:rsidRPr="00686C5E">
        <w:rPr>
          <w:rFonts w:ascii="Century Gothic" w:hAnsi="Century Gothic" w:cs="Segoe UI"/>
          <w:b/>
          <w:bCs/>
          <w:sz w:val="20"/>
          <w:szCs w:val="20"/>
          <w:u w:val="single"/>
        </w:rPr>
        <w:t xml:space="preserve">Counter: </w:t>
      </w:r>
      <w:r w:rsidR="009C0798" w:rsidRPr="009C0798">
        <w:rPr>
          <w:rFonts w:ascii="Century Gothic" w:hAnsi="Century Gothic" w:cs="Segoe UI"/>
          <w:sz w:val="20"/>
          <w:szCs w:val="20"/>
        </w:rPr>
        <w:t>This is an inaccurate claim directed at patients managing complex chronic and rare diseases. Pointing back to the shift in benefit design with high deductibles and high coinsurance, insurers have forced patients to put more and more skin in the game; and with copay accumulator adjustment programs, they are putting patients’ lives on the line. Furthermore, copay assistance is a finite amount of money; when the assistance runs out during the plan year the patient is responsible for any remaining cost-sharing, whether it is their deductible, copay, or coinsurance. Copay assistance keeps patients adherent to their treatment and out of the emergency department, which ultimately can help to control costs for the broader healthcare system.</w:t>
      </w:r>
    </w:p>
    <w:p w14:paraId="05B030B6" w14:textId="2A348EC9" w:rsidR="00312D56" w:rsidRPr="00B804AB" w:rsidRDefault="00312D56" w:rsidP="00310297">
      <w:pPr>
        <w:pStyle w:val="paragraph"/>
        <w:spacing w:before="0" w:beforeAutospacing="0" w:after="0" w:afterAutospacing="0"/>
        <w:textAlignment w:val="baseline"/>
        <w:rPr>
          <w:rFonts w:ascii="Century Gothic" w:hAnsi="Century Gothic"/>
          <w:sz w:val="20"/>
          <w:szCs w:val="20"/>
        </w:rPr>
      </w:pPr>
    </w:p>
    <w:p w14:paraId="37D6B798" w14:textId="032EED4F" w:rsidR="0077090D" w:rsidRPr="00B804AB" w:rsidRDefault="00B804AB" w:rsidP="00310297">
      <w:pPr>
        <w:pStyle w:val="paragraph"/>
        <w:spacing w:before="0" w:beforeAutospacing="0" w:after="0" w:afterAutospacing="0"/>
        <w:textAlignment w:val="baseline"/>
        <w:rPr>
          <w:rFonts w:ascii="Century Gothic" w:hAnsi="Century Gothic"/>
          <w:sz w:val="20"/>
          <w:szCs w:val="20"/>
        </w:rPr>
      </w:pPr>
      <w:r w:rsidRPr="00B804AB">
        <w:rPr>
          <w:rFonts w:ascii="Century Gothic" w:hAnsi="Century Gothic"/>
          <w:b/>
          <w:bCs/>
          <w:sz w:val="20"/>
          <w:szCs w:val="20"/>
          <w:u w:val="single"/>
        </w:rPr>
        <w:t>Opposition</w:t>
      </w:r>
      <w:r w:rsidR="0077090D" w:rsidRPr="00B804AB">
        <w:rPr>
          <w:rFonts w:ascii="Century Gothic" w:hAnsi="Century Gothic"/>
          <w:b/>
          <w:bCs/>
          <w:sz w:val="20"/>
          <w:szCs w:val="20"/>
          <w:u w:val="single"/>
        </w:rPr>
        <w:t xml:space="preserve"> Argument:</w:t>
      </w:r>
      <w:r w:rsidR="0077090D" w:rsidRPr="00B804AB">
        <w:rPr>
          <w:rFonts w:ascii="Century Gothic" w:hAnsi="Century Gothic"/>
          <w:sz w:val="20"/>
          <w:szCs w:val="20"/>
        </w:rPr>
        <w:t xml:space="preserve"> This bill would conflict with IRS law</w:t>
      </w:r>
    </w:p>
    <w:p w14:paraId="5AF2766B" w14:textId="77777777" w:rsidR="0077090D" w:rsidRPr="00B804AB" w:rsidRDefault="0077090D" w:rsidP="00310297">
      <w:pPr>
        <w:pStyle w:val="paragraph"/>
        <w:spacing w:before="0" w:beforeAutospacing="0" w:after="0" w:afterAutospacing="0"/>
        <w:textAlignment w:val="baseline"/>
        <w:rPr>
          <w:rFonts w:ascii="Century Gothic" w:hAnsi="Century Gothic"/>
          <w:sz w:val="20"/>
          <w:szCs w:val="20"/>
        </w:rPr>
      </w:pPr>
    </w:p>
    <w:p w14:paraId="30EB6096" w14:textId="0E167141" w:rsidR="0077090D" w:rsidRPr="00B804AB" w:rsidRDefault="0077090D" w:rsidP="00310297">
      <w:pPr>
        <w:pStyle w:val="paragraph"/>
        <w:spacing w:before="0" w:beforeAutospacing="0" w:after="0" w:afterAutospacing="0"/>
        <w:textAlignment w:val="baseline"/>
        <w:rPr>
          <w:rFonts w:ascii="Century Gothic" w:hAnsi="Century Gothic"/>
          <w:sz w:val="20"/>
          <w:szCs w:val="20"/>
        </w:rPr>
      </w:pPr>
      <w:r w:rsidRPr="00B804AB">
        <w:rPr>
          <w:rFonts w:ascii="Century Gothic" w:hAnsi="Century Gothic"/>
          <w:b/>
          <w:bCs/>
          <w:sz w:val="20"/>
          <w:szCs w:val="20"/>
          <w:u w:val="single"/>
        </w:rPr>
        <w:t xml:space="preserve">Counter: </w:t>
      </w:r>
      <w:r w:rsidR="00C671B8">
        <w:rPr>
          <w:rFonts w:ascii="Century Gothic" w:hAnsi="Century Gothic"/>
          <w:sz w:val="20"/>
          <w:szCs w:val="20"/>
        </w:rPr>
        <w:t xml:space="preserve">To comply with an IRS rule, there is </w:t>
      </w:r>
      <w:r w:rsidR="00446D0E">
        <w:rPr>
          <w:rFonts w:ascii="Century Gothic" w:hAnsi="Century Gothic"/>
          <w:sz w:val="20"/>
          <w:szCs w:val="20"/>
        </w:rPr>
        <w:t>language</w:t>
      </w:r>
      <w:r w:rsidR="00C671B8">
        <w:rPr>
          <w:rFonts w:ascii="Century Gothic" w:hAnsi="Century Gothic"/>
          <w:sz w:val="20"/>
          <w:szCs w:val="20"/>
        </w:rPr>
        <w:t xml:space="preserve"> that can be added to </w:t>
      </w:r>
      <w:r w:rsidR="000B61E8">
        <w:rPr>
          <w:rFonts w:ascii="Century Gothic" w:hAnsi="Century Gothic"/>
          <w:sz w:val="20"/>
          <w:szCs w:val="20"/>
        </w:rPr>
        <w:t xml:space="preserve">accumulator ban bills to ensure </w:t>
      </w:r>
      <w:r w:rsidR="0021426A">
        <w:rPr>
          <w:rFonts w:ascii="Century Gothic" w:hAnsi="Century Gothic"/>
          <w:sz w:val="20"/>
          <w:szCs w:val="20"/>
        </w:rPr>
        <w:t xml:space="preserve">that the ban for </w:t>
      </w:r>
      <w:proofErr w:type="spellStart"/>
      <w:r w:rsidR="000B61E8">
        <w:rPr>
          <w:rFonts w:ascii="Century Gothic" w:hAnsi="Century Gothic"/>
          <w:sz w:val="20"/>
          <w:szCs w:val="20"/>
        </w:rPr>
        <w:t>patient’s</w:t>
      </w:r>
      <w:proofErr w:type="spellEnd"/>
      <w:r w:rsidR="000B61E8">
        <w:rPr>
          <w:rFonts w:ascii="Century Gothic" w:hAnsi="Century Gothic"/>
          <w:sz w:val="20"/>
          <w:szCs w:val="20"/>
        </w:rPr>
        <w:t xml:space="preserve"> with HSA-HDHP </w:t>
      </w:r>
      <w:r w:rsidR="0021426A">
        <w:rPr>
          <w:rFonts w:ascii="Century Gothic" w:hAnsi="Century Gothic"/>
          <w:sz w:val="20"/>
          <w:szCs w:val="20"/>
        </w:rPr>
        <w:t>goes into effect once the patient’s MI</w:t>
      </w:r>
      <w:r w:rsidR="00446D0E">
        <w:rPr>
          <w:rFonts w:ascii="Century Gothic" w:hAnsi="Century Gothic"/>
          <w:sz w:val="20"/>
          <w:szCs w:val="20"/>
        </w:rPr>
        <w:t>N</w:t>
      </w:r>
      <w:r w:rsidR="0021426A">
        <w:rPr>
          <w:rFonts w:ascii="Century Gothic" w:hAnsi="Century Gothic"/>
          <w:sz w:val="20"/>
          <w:szCs w:val="20"/>
        </w:rPr>
        <w:t xml:space="preserve">IMUM </w:t>
      </w:r>
      <w:r w:rsidR="00446D0E">
        <w:rPr>
          <w:rFonts w:ascii="Century Gothic" w:hAnsi="Century Gothic"/>
          <w:sz w:val="20"/>
          <w:szCs w:val="20"/>
        </w:rPr>
        <w:t>dedituble</w:t>
      </w:r>
      <w:r w:rsidR="0021426A">
        <w:rPr>
          <w:rFonts w:ascii="Century Gothic" w:hAnsi="Century Gothic"/>
          <w:sz w:val="20"/>
          <w:szCs w:val="20"/>
        </w:rPr>
        <w:t xml:space="preserve"> (defined by IRS law) </w:t>
      </w:r>
      <w:r w:rsidR="00BA7EB0">
        <w:rPr>
          <w:rFonts w:ascii="Century Gothic" w:hAnsi="Century Gothic"/>
          <w:sz w:val="20"/>
          <w:szCs w:val="20"/>
        </w:rPr>
        <w:t>has been paid by the patient themselves. After the patient has paid the minimum dedituble then they can</w:t>
      </w:r>
      <w:r w:rsidR="00446D0E">
        <w:rPr>
          <w:rFonts w:ascii="Century Gothic" w:hAnsi="Century Gothic"/>
          <w:sz w:val="20"/>
          <w:szCs w:val="20"/>
        </w:rPr>
        <w:t xml:space="preserve"> go back to using co-pay assistance for the rest of their dedituble and other cost-sharing requirements. </w:t>
      </w:r>
    </w:p>
    <w:sectPr w:rsidR="0077090D" w:rsidRPr="00B804AB" w:rsidSect="00F974BE">
      <w:headerReference w:type="even" r:id="rId11"/>
      <w:headerReference w:type="default" r:id="rId12"/>
      <w:footerReference w:type="even" r:id="rId13"/>
      <w:footerReference w:type="default" r:id="rId14"/>
      <w:headerReference w:type="first" r:id="rId15"/>
      <w:footerReference w:type="first" r:id="rId16"/>
      <w:type w:val="continuous"/>
      <w:pgSz w:w="12240" w:h="15840"/>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51B5A1" w14:textId="77777777" w:rsidR="00D55C86" w:rsidRDefault="00D55C86" w:rsidP="00840C34">
      <w:pPr>
        <w:spacing w:after="0" w:line="240" w:lineRule="auto"/>
      </w:pPr>
      <w:r>
        <w:separator/>
      </w:r>
    </w:p>
  </w:endnote>
  <w:endnote w:type="continuationSeparator" w:id="0">
    <w:p w14:paraId="521EBAAE" w14:textId="77777777" w:rsidR="00D55C86" w:rsidRDefault="00D55C86" w:rsidP="00840C34">
      <w:pPr>
        <w:spacing w:after="0" w:line="240" w:lineRule="auto"/>
      </w:pPr>
      <w:r>
        <w:continuationSeparator/>
      </w:r>
    </w:p>
  </w:endnote>
  <w:endnote w:type="continuationNotice" w:id="1">
    <w:p w14:paraId="2E2F0EC4" w14:textId="77777777" w:rsidR="00D55C86" w:rsidRDefault="00D55C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1DE83" w14:textId="77777777" w:rsidR="00420188" w:rsidRDefault="004201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6CC30" w14:textId="77777777" w:rsidR="00420188" w:rsidRDefault="004201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A8CF7" w14:textId="77777777" w:rsidR="00420188" w:rsidRDefault="004201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9600BD" w14:textId="77777777" w:rsidR="00D55C86" w:rsidRDefault="00D55C86" w:rsidP="00840C34">
      <w:pPr>
        <w:spacing w:after="0" w:line="240" w:lineRule="auto"/>
      </w:pPr>
      <w:r>
        <w:separator/>
      </w:r>
    </w:p>
  </w:footnote>
  <w:footnote w:type="continuationSeparator" w:id="0">
    <w:p w14:paraId="672C079B" w14:textId="77777777" w:rsidR="00D55C86" w:rsidRDefault="00D55C86" w:rsidP="00840C34">
      <w:pPr>
        <w:spacing w:after="0" w:line="240" w:lineRule="auto"/>
      </w:pPr>
      <w:r>
        <w:continuationSeparator/>
      </w:r>
    </w:p>
  </w:footnote>
  <w:footnote w:type="continuationNotice" w:id="1">
    <w:p w14:paraId="131AEA58" w14:textId="77777777" w:rsidR="00D55C86" w:rsidRDefault="00D55C86">
      <w:pPr>
        <w:spacing w:after="0" w:line="240" w:lineRule="auto"/>
      </w:pPr>
    </w:p>
  </w:footnote>
  <w:footnote w:id="2">
    <w:p w14:paraId="4B5A9EF1" w14:textId="77777777" w:rsidR="00310297" w:rsidRDefault="00310297" w:rsidP="00310297">
      <w:pPr>
        <w:pStyle w:val="FootnoteText"/>
      </w:pPr>
      <w:r>
        <w:rPr>
          <w:rStyle w:val="FootnoteReference"/>
        </w:rPr>
        <w:footnoteRef/>
      </w:r>
      <w:r>
        <w:t xml:space="preserve"> </w:t>
      </w:r>
      <w:r w:rsidRPr="00102C69">
        <w:t>IQVIA. An Evaluation of Co-Pay Card Utilization in Brands after Generic Competitor Launch. https://www.iqvia.com/locations/united-states/library/fact-sheets/evaluation-of-co-pay-card-utilization</w:t>
      </w:r>
    </w:p>
  </w:footnote>
  <w:footnote w:id="3">
    <w:p w14:paraId="24078402" w14:textId="77777777" w:rsidR="009D53CB" w:rsidRDefault="009D53CB" w:rsidP="009D53CB">
      <w:pPr>
        <w:pStyle w:val="FootnoteText"/>
      </w:pPr>
      <w:r>
        <w:rPr>
          <w:rStyle w:val="FootnoteReference"/>
        </w:rPr>
        <w:footnoteRef/>
      </w:r>
      <w:r>
        <w:t xml:space="preserve"> The AIDS Institute. </w:t>
      </w:r>
      <w:hyperlink r:id="rId1" w:history="1">
        <w:r w:rsidRPr="000C115A">
          <w:rPr>
            <w:rStyle w:val="Hyperlink"/>
          </w:rPr>
          <w:t>http://aidsinstitute.net/documents/2021_TAI_Double-Dipping_Final-031621.pdf</w:t>
        </w:r>
      </w:hyperlink>
      <w:r>
        <w:t xml:space="preserve"> </w:t>
      </w:r>
    </w:p>
  </w:footnote>
  <w:footnote w:id="4">
    <w:p w14:paraId="6E905B97" w14:textId="77777777" w:rsidR="00310297" w:rsidRPr="00650822" w:rsidRDefault="00310297" w:rsidP="00310297">
      <w:pPr>
        <w:rPr>
          <w:sz w:val="20"/>
          <w:szCs w:val="20"/>
        </w:rPr>
      </w:pPr>
      <w:r>
        <w:rPr>
          <w:rStyle w:val="FootnoteReference"/>
        </w:rPr>
        <w:footnoteRef/>
      </w:r>
      <w:r>
        <w:t xml:space="preserve"> </w:t>
      </w:r>
      <w:r>
        <w:rPr>
          <w:sz w:val="20"/>
          <w:szCs w:val="20"/>
        </w:rPr>
        <w:t>Department of Health and Human S</w:t>
      </w:r>
      <w:r w:rsidRPr="00650822">
        <w:rPr>
          <w:sz w:val="20"/>
          <w:szCs w:val="20"/>
        </w:rPr>
        <w:t>ervices</w:t>
      </w:r>
      <w:r>
        <w:rPr>
          <w:sz w:val="20"/>
          <w:szCs w:val="20"/>
        </w:rPr>
        <w:t xml:space="preserve">. </w:t>
      </w:r>
      <w:r w:rsidRPr="00650822">
        <w:rPr>
          <w:sz w:val="20"/>
          <w:szCs w:val="20"/>
        </w:rPr>
        <w:t xml:space="preserve">Patient Protection and Affordable Care Act; HHS Notice of Benefit and Payment Parameters for 2021; Notice Requirement for Non-Federal Governmental Plans. </w:t>
      </w:r>
      <w:r>
        <w:rPr>
          <w:sz w:val="20"/>
          <w:szCs w:val="20"/>
        </w:rPr>
        <w:t xml:space="preserve">Vol. 85, No. 94. (5/14/2020). </w:t>
      </w:r>
      <w:r w:rsidRPr="00650822">
        <w:rPr>
          <w:sz w:val="20"/>
          <w:szCs w:val="20"/>
        </w:rPr>
        <w:t xml:space="preserve">p. 29232.  </w:t>
      </w:r>
      <w:r w:rsidRPr="0074068B">
        <w:rPr>
          <w:sz w:val="20"/>
          <w:szCs w:val="20"/>
        </w:rPr>
        <w:t>https://www.federalregister.gov/documents/2020/05/14/2020-10045/patient-protection-and-affordable-care-act-hhs-notice-of-benefit-and-payment-parameters-for-2021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451A0" w14:textId="77777777" w:rsidR="00420188" w:rsidRDefault="004201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0A7D1" w14:textId="60DC641A" w:rsidR="00512E16" w:rsidRPr="009C6264" w:rsidRDefault="00512E16" w:rsidP="00840C34">
    <w:pPr>
      <w:pStyle w:val="Header"/>
      <w:jc w:val="center"/>
      <w:rPr>
        <w:rFonts w:ascii="Century Gothic" w:hAnsi="Century Gothic"/>
        <w:b/>
        <w:bCs/>
        <w:color w:val="93328E"/>
        <w:sz w:val="28"/>
        <w:szCs w:val="28"/>
        <w:u w:val="single"/>
      </w:rPr>
    </w:pPr>
    <w:r>
      <w:rPr>
        <w:noProof/>
      </w:rPr>
      <w:drawing>
        <wp:anchor distT="0" distB="0" distL="114300" distR="114300" simplePos="0" relativeHeight="251658240" behindDoc="1" locked="0" layoutInCell="1" allowOverlap="1" wp14:anchorId="11BAF007" wp14:editId="4B96E7A0">
          <wp:simplePos x="0" y="0"/>
          <wp:positionH relativeFrom="page">
            <wp:align>right</wp:align>
          </wp:positionH>
          <wp:positionV relativeFrom="page">
            <wp:align>bottom</wp:align>
          </wp:positionV>
          <wp:extent cx="7772400" cy="10058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dmalone/Desktop/8100.18.10507 PPA-Word Template/Screen Shot 2018-01-24 at 2.01.51 PM.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72400" cy="10058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C1050" w14:textId="77777777" w:rsidR="00420188" w:rsidRDefault="004201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C56FD"/>
    <w:multiLevelType w:val="hybridMultilevel"/>
    <w:tmpl w:val="5A107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803496"/>
    <w:multiLevelType w:val="hybridMultilevel"/>
    <w:tmpl w:val="26E479A8"/>
    <w:lvl w:ilvl="0" w:tplc="0390074C">
      <w:start w:val="1"/>
      <w:numFmt w:val="bullet"/>
      <w:lvlText w:val=""/>
      <w:lvlJc w:val="left"/>
      <w:pPr>
        <w:ind w:left="720" w:hanging="360"/>
      </w:pPr>
      <w:rPr>
        <w:rFonts w:ascii="Symbol" w:hAnsi="Symbol" w:hint="default"/>
        <w:color w:val="00B05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955AB6"/>
    <w:multiLevelType w:val="hybridMultilevel"/>
    <w:tmpl w:val="8F66BB62"/>
    <w:lvl w:ilvl="0" w:tplc="0390074C">
      <w:start w:val="1"/>
      <w:numFmt w:val="bullet"/>
      <w:lvlText w:val=""/>
      <w:lvlJc w:val="left"/>
      <w:pPr>
        <w:ind w:left="720" w:hanging="360"/>
      </w:pPr>
      <w:rPr>
        <w:rFonts w:ascii="Symbol" w:hAnsi="Symbol" w:hint="default"/>
        <w:color w:val="00B05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BC26C7"/>
    <w:multiLevelType w:val="hybridMultilevel"/>
    <w:tmpl w:val="C6D68E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75013E"/>
    <w:multiLevelType w:val="hybridMultilevel"/>
    <w:tmpl w:val="A6FC8312"/>
    <w:lvl w:ilvl="0" w:tplc="04090001">
      <w:start w:val="1"/>
      <w:numFmt w:val="bullet"/>
      <w:lvlText w:val=""/>
      <w:lvlJc w:val="left"/>
      <w:pPr>
        <w:ind w:left="773" w:hanging="360"/>
      </w:pPr>
      <w:rPr>
        <w:rFonts w:ascii="Symbol" w:hAnsi="Symbol" w:hint="default"/>
      </w:rPr>
    </w:lvl>
    <w:lvl w:ilvl="1" w:tplc="04090003">
      <w:start w:val="1"/>
      <w:numFmt w:val="bullet"/>
      <w:lvlText w:val="o"/>
      <w:lvlJc w:val="left"/>
      <w:pPr>
        <w:ind w:left="1493" w:hanging="360"/>
      </w:pPr>
      <w:rPr>
        <w:rFonts w:ascii="Courier New" w:hAnsi="Courier New" w:cs="Courier New" w:hint="default"/>
      </w:rPr>
    </w:lvl>
    <w:lvl w:ilvl="2" w:tplc="04090005">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5" w15:restartNumberingAfterBreak="0">
    <w:nsid w:val="3CDB58DA"/>
    <w:multiLevelType w:val="hybridMultilevel"/>
    <w:tmpl w:val="B6DC93B6"/>
    <w:lvl w:ilvl="0" w:tplc="0390074C">
      <w:start w:val="1"/>
      <w:numFmt w:val="bullet"/>
      <w:lvlText w:val=""/>
      <w:lvlJc w:val="left"/>
      <w:pPr>
        <w:ind w:left="720" w:hanging="360"/>
      </w:pPr>
      <w:rPr>
        <w:rFonts w:ascii="Symbol" w:hAnsi="Symbol" w:hint="default"/>
        <w:color w:val="00B05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794B42"/>
    <w:multiLevelType w:val="hybridMultilevel"/>
    <w:tmpl w:val="BF0A7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5A7235"/>
    <w:multiLevelType w:val="hybridMultilevel"/>
    <w:tmpl w:val="73B8B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B8D2300"/>
    <w:multiLevelType w:val="hybridMultilevel"/>
    <w:tmpl w:val="E7CE462E"/>
    <w:lvl w:ilvl="0" w:tplc="0390074C">
      <w:start w:val="1"/>
      <w:numFmt w:val="bullet"/>
      <w:lvlText w:val=""/>
      <w:lvlJc w:val="left"/>
      <w:pPr>
        <w:ind w:left="720" w:hanging="360"/>
      </w:pPr>
      <w:rPr>
        <w:rFonts w:ascii="Symbol" w:hAnsi="Symbol" w:hint="default"/>
        <w:color w:val="00B05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CD07BDA"/>
    <w:multiLevelType w:val="hybridMultilevel"/>
    <w:tmpl w:val="6B6EC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2"/>
  </w:num>
  <w:num w:numId="4">
    <w:abstractNumId w:val="1"/>
  </w:num>
  <w:num w:numId="5">
    <w:abstractNumId w:val="8"/>
  </w:num>
  <w:num w:numId="6">
    <w:abstractNumId w:val="4"/>
  </w:num>
  <w:num w:numId="7">
    <w:abstractNumId w:val="0"/>
  </w:num>
  <w:num w:numId="8">
    <w:abstractNumId w:val="3"/>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rE0NTEwMzE3NDMyNzNW0lEKTi0uzszPAykwrAUAwQuQxCwAAAA="/>
  </w:docVars>
  <w:rsids>
    <w:rsidRoot w:val="00E12E83"/>
    <w:rsid w:val="00036588"/>
    <w:rsid w:val="00047438"/>
    <w:rsid w:val="00047775"/>
    <w:rsid w:val="00047812"/>
    <w:rsid w:val="0007128D"/>
    <w:rsid w:val="0008495C"/>
    <w:rsid w:val="000B61E8"/>
    <w:rsid w:val="000B6A41"/>
    <w:rsid w:val="000D681D"/>
    <w:rsid w:val="000E147C"/>
    <w:rsid w:val="000E3040"/>
    <w:rsid w:val="000E746C"/>
    <w:rsid w:val="001257A4"/>
    <w:rsid w:val="0016222D"/>
    <w:rsid w:val="00176FB0"/>
    <w:rsid w:val="0019033C"/>
    <w:rsid w:val="001974DB"/>
    <w:rsid w:val="001A1E4F"/>
    <w:rsid w:val="001A26E5"/>
    <w:rsid w:val="001C2AE2"/>
    <w:rsid w:val="001C348E"/>
    <w:rsid w:val="001C41EB"/>
    <w:rsid w:val="001D3446"/>
    <w:rsid w:val="001D3962"/>
    <w:rsid w:val="001F2B61"/>
    <w:rsid w:val="001F6476"/>
    <w:rsid w:val="00203440"/>
    <w:rsid w:val="00210FB7"/>
    <w:rsid w:val="00211A00"/>
    <w:rsid w:val="0021426A"/>
    <w:rsid w:val="002250C5"/>
    <w:rsid w:val="00237026"/>
    <w:rsid w:val="00247E43"/>
    <w:rsid w:val="00247F55"/>
    <w:rsid w:val="002636FA"/>
    <w:rsid w:val="0026691F"/>
    <w:rsid w:val="00282DD2"/>
    <w:rsid w:val="00285EF3"/>
    <w:rsid w:val="002971FF"/>
    <w:rsid w:val="002A024C"/>
    <w:rsid w:val="002A235B"/>
    <w:rsid w:val="002A3645"/>
    <w:rsid w:val="002A7142"/>
    <w:rsid w:val="002C699D"/>
    <w:rsid w:val="002D4A45"/>
    <w:rsid w:val="003006AC"/>
    <w:rsid w:val="00300B19"/>
    <w:rsid w:val="00306C4A"/>
    <w:rsid w:val="00310297"/>
    <w:rsid w:val="00312D56"/>
    <w:rsid w:val="00322A5C"/>
    <w:rsid w:val="00322C37"/>
    <w:rsid w:val="00324EF4"/>
    <w:rsid w:val="00325502"/>
    <w:rsid w:val="00347878"/>
    <w:rsid w:val="003669C2"/>
    <w:rsid w:val="003772F1"/>
    <w:rsid w:val="003823DE"/>
    <w:rsid w:val="003B5FBA"/>
    <w:rsid w:val="003D75C8"/>
    <w:rsid w:val="003E2EE1"/>
    <w:rsid w:val="004109CC"/>
    <w:rsid w:val="004145BF"/>
    <w:rsid w:val="00414691"/>
    <w:rsid w:val="00420188"/>
    <w:rsid w:val="00426F15"/>
    <w:rsid w:val="00446D0E"/>
    <w:rsid w:val="00456B92"/>
    <w:rsid w:val="00460DCD"/>
    <w:rsid w:val="00460E3F"/>
    <w:rsid w:val="00461F9A"/>
    <w:rsid w:val="004749BB"/>
    <w:rsid w:val="00482E18"/>
    <w:rsid w:val="004A4A76"/>
    <w:rsid w:val="004C682A"/>
    <w:rsid w:val="004D10F9"/>
    <w:rsid w:val="004E743A"/>
    <w:rsid w:val="004F2DBC"/>
    <w:rsid w:val="00502F7C"/>
    <w:rsid w:val="00512E16"/>
    <w:rsid w:val="00523C87"/>
    <w:rsid w:val="00537756"/>
    <w:rsid w:val="00560EE8"/>
    <w:rsid w:val="00561126"/>
    <w:rsid w:val="00564FFE"/>
    <w:rsid w:val="00585810"/>
    <w:rsid w:val="00587C8B"/>
    <w:rsid w:val="005A181D"/>
    <w:rsid w:val="005C4FAD"/>
    <w:rsid w:val="005E4245"/>
    <w:rsid w:val="005F7908"/>
    <w:rsid w:val="00610FFA"/>
    <w:rsid w:val="00611C3B"/>
    <w:rsid w:val="00622FC6"/>
    <w:rsid w:val="00654CE1"/>
    <w:rsid w:val="00660671"/>
    <w:rsid w:val="00681138"/>
    <w:rsid w:val="00686C5E"/>
    <w:rsid w:val="00693697"/>
    <w:rsid w:val="006A16EC"/>
    <w:rsid w:val="006A40AA"/>
    <w:rsid w:val="006A5704"/>
    <w:rsid w:val="006D4ACD"/>
    <w:rsid w:val="006E4262"/>
    <w:rsid w:val="006E6680"/>
    <w:rsid w:val="006F5295"/>
    <w:rsid w:val="0071598C"/>
    <w:rsid w:val="00721A99"/>
    <w:rsid w:val="007232AB"/>
    <w:rsid w:val="00732115"/>
    <w:rsid w:val="007447D8"/>
    <w:rsid w:val="007560FB"/>
    <w:rsid w:val="00756F76"/>
    <w:rsid w:val="0076333B"/>
    <w:rsid w:val="00764BA7"/>
    <w:rsid w:val="0077090D"/>
    <w:rsid w:val="00771170"/>
    <w:rsid w:val="00791CBC"/>
    <w:rsid w:val="00795500"/>
    <w:rsid w:val="007B14B2"/>
    <w:rsid w:val="007B2D5C"/>
    <w:rsid w:val="007B4E96"/>
    <w:rsid w:val="007D5987"/>
    <w:rsid w:val="007E3839"/>
    <w:rsid w:val="007F4A51"/>
    <w:rsid w:val="007F5D10"/>
    <w:rsid w:val="00800CF4"/>
    <w:rsid w:val="00804275"/>
    <w:rsid w:val="008111D8"/>
    <w:rsid w:val="00814191"/>
    <w:rsid w:val="00831AD1"/>
    <w:rsid w:val="00840C34"/>
    <w:rsid w:val="00842C16"/>
    <w:rsid w:val="00842C6E"/>
    <w:rsid w:val="00846549"/>
    <w:rsid w:val="00864D00"/>
    <w:rsid w:val="008725A6"/>
    <w:rsid w:val="008E458D"/>
    <w:rsid w:val="008F3ECC"/>
    <w:rsid w:val="008F49CC"/>
    <w:rsid w:val="009001DB"/>
    <w:rsid w:val="00907524"/>
    <w:rsid w:val="00907575"/>
    <w:rsid w:val="00907F1D"/>
    <w:rsid w:val="009173F3"/>
    <w:rsid w:val="00962916"/>
    <w:rsid w:val="00963078"/>
    <w:rsid w:val="009667E3"/>
    <w:rsid w:val="009810F2"/>
    <w:rsid w:val="00981B3C"/>
    <w:rsid w:val="009A2ADB"/>
    <w:rsid w:val="009A3222"/>
    <w:rsid w:val="009A6C24"/>
    <w:rsid w:val="009B4A21"/>
    <w:rsid w:val="009C0798"/>
    <w:rsid w:val="009C6264"/>
    <w:rsid w:val="009D0BAE"/>
    <w:rsid w:val="009D53CB"/>
    <w:rsid w:val="009D57AF"/>
    <w:rsid w:val="009D7218"/>
    <w:rsid w:val="009F1906"/>
    <w:rsid w:val="009F68C8"/>
    <w:rsid w:val="00A02859"/>
    <w:rsid w:val="00A02A1B"/>
    <w:rsid w:val="00A147E0"/>
    <w:rsid w:val="00A178FF"/>
    <w:rsid w:val="00A27BA2"/>
    <w:rsid w:val="00A46B0B"/>
    <w:rsid w:val="00A477DB"/>
    <w:rsid w:val="00A5113E"/>
    <w:rsid w:val="00A53B5E"/>
    <w:rsid w:val="00A55BEF"/>
    <w:rsid w:val="00A72893"/>
    <w:rsid w:val="00A72BB0"/>
    <w:rsid w:val="00A821C2"/>
    <w:rsid w:val="00A84A52"/>
    <w:rsid w:val="00A863F8"/>
    <w:rsid w:val="00A927B1"/>
    <w:rsid w:val="00AA22FB"/>
    <w:rsid w:val="00AB39C8"/>
    <w:rsid w:val="00AB7006"/>
    <w:rsid w:val="00AC0C9C"/>
    <w:rsid w:val="00AC11EC"/>
    <w:rsid w:val="00AD23C8"/>
    <w:rsid w:val="00AE732A"/>
    <w:rsid w:val="00B47272"/>
    <w:rsid w:val="00B56216"/>
    <w:rsid w:val="00B804AB"/>
    <w:rsid w:val="00B903FB"/>
    <w:rsid w:val="00B93DDB"/>
    <w:rsid w:val="00B94F29"/>
    <w:rsid w:val="00B95B35"/>
    <w:rsid w:val="00BA5F2B"/>
    <w:rsid w:val="00BA7EB0"/>
    <w:rsid w:val="00BB4E19"/>
    <w:rsid w:val="00BC2520"/>
    <w:rsid w:val="00BE1538"/>
    <w:rsid w:val="00BE75C2"/>
    <w:rsid w:val="00BF23F7"/>
    <w:rsid w:val="00BF25C7"/>
    <w:rsid w:val="00BF5DD7"/>
    <w:rsid w:val="00C13B39"/>
    <w:rsid w:val="00C3434A"/>
    <w:rsid w:val="00C671B8"/>
    <w:rsid w:val="00C76155"/>
    <w:rsid w:val="00C851C1"/>
    <w:rsid w:val="00CB316E"/>
    <w:rsid w:val="00CB3703"/>
    <w:rsid w:val="00CC10E4"/>
    <w:rsid w:val="00CF43FA"/>
    <w:rsid w:val="00CF4D35"/>
    <w:rsid w:val="00D163FB"/>
    <w:rsid w:val="00D32D7A"/>
    <w:rsid w:val="00D37FA3"/>
    <w:rsid w:val="00D41425"/>
    <w:rsid w:val="00D55C86"/>
    <w:rsid w:val="00D8251B"/>
    <w:rsid w:val="00D91610"/>
    <w:rsid w:val="00D922C7"/>
    <w:rsid w:val="00D97E86"/>
    <w:rsid w:val="00DB34DC"/>
    <w:rsid w:val="00DE2384"/>
    <w:rsid w:val="00DE40BB"/>
    <w:rsid w:val="00DF03DF"/>
    <w:rsid w:val="00DF1197"/>
    <w:rsid w:val="00E11822"/>
    <w:rsid w:val="00E12E83"/>
    <w:rsid w:val="00E265DB"/>
    <w:rsid w:val="00E35276"/>
    <w:rsid w:val="00E436D8"/>
    <w:rsid w:val="00E43BB9"/>
    <w:rsid w:val="00E534FD"/>
    <w:rsid w:val="00E56353"/>
    <w:rsid w:val="00E64926"/>
    <w:rsid w:val="00E7718F"/>
    <w:rsid w:val="00E9313A"/>
    <w:rsid w:val="00EA55EE"/>
    <w:rsid w:val="00EB692E"/>
    <w:rsid w:val="00F31943"/>
    <w:rsid w:val="00F3674D"/>
    <w:rsid w:val="00F44F9D"/>
    <w:rsid w:val="00F55D94"/>
    <w:rsid w:val="00F6485B"/>
    <w:rsid w:val="00F65F87"/>
    <w:rsid w:val="00F86B51"/>
    <w:rsid w:val="00F918C3"/>
    <w:rsid w:val="00F974BE"/>
    <w:rsid w:val="00FA168B"/>
    <w:rsid w:val="00FB09B6"/>
    <w:rsid w:val="00FB12B9"/>
    <w:rsid w:val="00FC6343"/>
    <w:rsid w:val="00FD2503"/>
    <w:rsid w:val="00FD6541"/>
    <w:rsid w:val="00FF141A"/>
    <w:rsid w:val="00FF47FA"/>
    <w:rsid w:val="00FF49EE"/>
    <w:rsid w:val="00FF5DB7"/>
    <w:rsid w:val="00FF6189"/>
    <w:rsid w:val="00FF733F"/>
    <w:rsid w:val="28B6F4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38653AE"/>
  <w15:chartTrackingRefBased/>
  <w15:docId w15:val="{CF972B99-FD1E-4CAF-9829-EAACD326E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6B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2E83"/>
    <w:pPr>
      <w:ind w:left="720"/>
      <w:contextualSpacing/>
    </w:pPr>
  </w:style>
  <w:style w:type="character" w:styleId="Hyperlink">
    <w:name w:val="Hyperlink"/>
    <w:basedOn w:val="DefaultParagraphFont"/>
    <w:uiPriority w:val="99"/>
    <w:unhideWhenUsed/>
    <w:rsid w:val="002A024C"/>
    <w:rPr>
      <w:color w:val="0563C1" w:themeColor="hyperlink"/>
      <w:u w:val="single"/>
    </w:rPr>
  </w:style>
  <w:style w:type="character" w:styleId="UnresolvedMention">
    <w:name w:val="Unresolved Mention"/>
    <w:basedOn w:val="DefaultParagraphFont"/>
    <w:uiPriority w:val="99"/>
    <w:semiHidden/>
    <w:unhideWhenUsed/>
    <w:rsid w:val="002A024C"/>
    <w:rPr>
      <w:color w:val="605E5C"/>
      <w:shd w:val="clear" w:color="auto" w:fill="E1DFDD"/>
    </w:rPr>
  </w:style>
  <w:style w:type="paragraph" w:styleId="Header">
    <w:name w:val="header"/>
    <w:basedOn w:val="Normal"/>
    <w:link w:val="HeaderChar"/>
    <w:uiPriority w:val="99"/>
    <w:unhideWhenUsed/>
    <w:rsid w:val="00840C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0C34"/>
  </w:style>
  <w:style w:type="paragraph" w:styleId="Footer">
    <w:name w:val="footer"/>
    <w:basedOn w:val="Normal"/>
    <w:link w:val="FooterChar"/>
    <w:uiPriority w:val="99"/>
    <w:unhideWhenUsed/>
    <w:rsid w:val="00840C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0C34"/>
  </w:style>
  <w:style w:type="character" w:styleId="FollowedHyperlink">
    <w:name w:val="FollowedHyperlink"/>
    <w:basedOn w:val="DefaultParagraphFont"/>
    <w:uiPriority w:val="99"/>
    <w:semiHidden/>
    <w:unhideWhenUsed/>
    <w:rsid w:val="00E64926"/>
    <w:rPr>
      <w:color w:val="954F72" w:themeColor="followedHyperlink"/>
      <w:u w:val="single"/>
    </w:rPr>
  </w:style>
  <w:style w:type="paragraph" w:styleId="FootnoteText">
    <w:name w:val="footnote text"/>
    <w:basedOn w:val="Normal"/>
    <w:link w:val="FootnoteTextChar"/>
    <w:uiPriority w:val="99"/>
    <w:semiHidden/>
    <w:unhideWhenUsed/>
    <w:rsid w:val="008725A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725A6"/>
    <w:rPr>
      <w:sz w:val="20"/>
      <w:szCs w:val="20"/>
    </w:rPr>
  </w:style>
  <w:style w:type="character" w:styleId="FootnoteReference">
    <w:name w:val="footnote reference"/>
    <w:basedOn w:val="DefaultParagraphFont"/>
    <w:uiPriority w:val="99"/>
    <w:semiHidden/>
    <w:unhideWhenUsed/>
    <w:rsid w:val="008725A6"/>
    <w:rPr>
      <w:vertAlign w:val="superscript"/>
    </w:rPr>
  </w:style>
  <w:style w:type="paragraph" w:customStyle="1" w:styleId="paragraph">
    <w:name w:val="paragraph"/>
    <w:basedOn w:val="Normal"/>
    <w:rsid w:val="00F65F8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F65F87"/>
  </w:style>
  <w:style w:type="character" w:customStyle="1" w:styleId="eop">
    <w:name w:val="eop"/>
    <w:basedOn w:val="DefaultParagraphFont"/>
    <w:rsid w:val="00F65F87"/>
  </w:style>
  <w:style w:type="character" w:styleId="CommentReference">
    <w:name w:val="annotation reference"/>
    <w:basedOn w:val="DefaultParagraphFont"/>
    <w:uiPriority w:val="99"/>
    <w:semiHidden/>
    <w:unhideWhenUsed/>
    <w:rsid w:val="00FF49EE"/>
    <w:rPr>
      <w:sz w:val="16"/>
      <w:szCs w:val="16"/>
    </w:rPr>
  </w:style>
  <w:style w:type="paragraph" w:styleId="CommentText">
    <w:name w:val="annotation text"/>
    <w:basedOn w:val="Normal"/>
    <w:link w:val="CommentTextChar"/>
    <w:uiPriority w:val="99"/>
    <w:semiHidden/>
    <w:unhideWhenUsed/>
    <w:rsid w:val="00FF49EE"/>
    <w:pPr>
      <w:spacing w:line="240" w:lineRule="auto"/>
    </w:pPr>
    <w:rPr>
      <w:sz w:val="20"/>
      <w:szCs w:val="20"/>
    </w:rPr>
  </w:style>
  <w:style w:type="character" w:customStyle="1" w:styleId="CommentTextChar">
    <w:name w:val="Comment Text Char"/>
    <w:basedOn w:val="DefaultParagraphFont"/>
    <w:link w:val="CommentText"/>
    <w:uiPriority w:val="99"/>
    <w:semiHidden/>
    <w:rsid w:val="00FF49EE"/>
    <w:rPr>
      <w:sz w:val="20"/>
      <w:szCs w:val="20"/>
    </w:rPr>
  </w:style>
  <w:style w:type="paragraph" w:styleId="CommentSubject">
    <w:name w:val="annotation subject"/>
    <w:basedOn w:val="CommentText"/>
    <w:next w:val="CommentText"/>
    <w:link w:val="CommentSubjectChar"/>
    <w:uiPriority w:val="99"/>
    <w:semiHidden/>
    <w:unhideWhenUsed/>
    <w:rsid w:val="00FF49EE"/>
    <w:rPr>
      <w:b/>
      <w:bCs/>
    </w:rPr>
  </w:style>
  <w:style w:type="character" w:customStyle="1" w:styleId="CommentSubjectChar">
    <w:name w:val="Comment Subject Char"/>
    <w:basedOn w:val="CommentTextChar"/>
    <w:link w:val="CommentSubject"/>
    <w:uiPriority w:val="99"/>
    <w:semiHidden/>
    <w:rsid w:val="00FF49E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27048">
      <w:bodyDiv w:val="1"/>
      <w:marLeft w:val="0"/>
      <w:marRight w:val="0"/>
      <w:marTop w:val="0"/>
      <w:marBottom w:val="0"/>
      <w:divBdr>
        <w:top w:val="none" w:sz="0" w:space="0" w:color="auto"/>
        <w:left w:val="none" w:sz="0" w:space="0" w:color="auto"/>
        <w:bottom w:val="none" w:sz="0" w:space="0" w:color="auto"/>
        <w:right w:val="none" w:sz="0" w:space="0" w:color="auto"/>
      </w:divBdr>
      <w:divsChild>
        <w:div w:id="1921254471">
          <w:marLeft w:val="0"/>
          <w:marRight w:val="0"/>
          <w:marTop w:val="0"/>
          <w:marBottom w:val="0"/>
          <w:divBdr>
            <w:top w:val="none" w:sz="0" w:space="0" w:color="auto"/>
            <w:left w:val="none" w:sz="0" w:space="0" w:color="auto"/>
            <w:bottom w:val="none" w:sz="0" w:space="0" w:color="auto"/>
            <w:right w:val="none" w:sz="0" w:space="0" w:color="auto"/>
          </w:divBdr>
        </w:div>
        <w:div w:id="271402184">
          <w:marLeft w:val="0"/>
          <w:marRight w:val="0"/>
          <w:marTop w:val="0"/>
          <w:marBottom w:val="0"/>
          <w:divBdr>
            <w:top w:val="none" w:sz="0" w:space="0" w:color="auto"/>
            <w:left w:val="none" w:sz="0" w:space="0" w:color="auto"/>
            <w:bottom w:val="none" w:sz="0" w:space="0" w:color="auto"/>
            <w:right w:val="none" w:sz="0" w:space="0" w:color="auto"/>
          </w:divBdr>
        </w:div>
        <w:div w:id="1260453909">
          <w:marLeft w:val="0"/>
          <w:marRight w:val="0"/>
          <w:marTop w:val="0"/>
          <w:marBottom w:val="0"/>
          <w:divBdr>
            <w:top w:val="none" w:sz="0" w:space="0" w:color="auto"/>
            <w:left w:val="none" w:sz="0" w:space="0" w:color="auto"/>
            <w:bottom w:val="none" w:sz="0" w:space="0" w:color="auto"/>
            <w:right w:val="none" w:sz="0" w:space="0" w:color="auto"/>
          </w:divBdr>
        </w:div>
        <w:div w:id="795219695">
          <w:marLeft w:val="0"/>
          <w:marRight w:val="0"/>
          <w:marTop w:val="0"/>
          <w:marBottom w:val="0"/>
          <w:divBdr>
            <w:top w:val="none" w:sz="0" w:space="0" w:color="auto"/>
            <w:left w:val="none" w:sz="0" w:space="0" w:color="auto"/>
            <w:bottom w:val="none" w:sz="0" w:space="0" w:color="auto"/>
            <w:right w:val="none" w:sz="0" w:space="0" w:color="auto"/>
          </w:divBdr>
        </w:div>
        <w:div w:id="1766069149">
          <w:marLeft w:val="0"/>
          <w:marRight w:val="0"/>
          <w:marTop w:val="0"/>
          <w:marBottom w:val="0"/>
          <w:divBdr>
            <w:top w:val="none" w:sz="0" w:space="0" w:color="auto"/>
            <w:left w:val="none" w:sz="0" w:space="0" w:color="auto"/>
            <w:bottom w:val="none" w:sz="0" w:space="0" w:color="auto"/>
            <w:right w:val="none" w:sz="0" w:space="0" w:color="auto"/>
          </w:divBdr>
        </w:div>
        <w:div w:id="1849252760">
          <w:marLeft w:val="0"/>
          <w:marRight w:val="0"/>
          <w:marTop w:val="0"/>
          <w:marBottom w:val="0"/>
          <w:divBdr>
            <w:top w:val="none" w:sz="0" w:space="0" w:color="auto"/>
            <w:left w:val="none" w:sz="0" w:space="0" w:color="auto"/>
            <w:bottom w:val="none" w:sz="0" w:space="0" w:color="auto"/>
            <w:right w:val="none" w:sz="0" w:space="0" w:color="auto"/>
          </w:divBdr>
        </w:div>
        <w:div w:id="2003657986">
          <w:marLeft w:val="0"/>
          <w:marRight w:val="0"/>
          <w:marTop w:val="0"/>
          <w:marBottom w:val="0"/>
          <w:divBdr>
            <w:top w:val="none" w:sz="0" w:space="0" w:color="auto"/>
            <w:left w:val="none" w:sz="0" w:space="0" w:color="auto"/>
            <w:bottom w:val="none" w:sz="0" w:space="0" w:color="auto"/>
            <w:right w:val="none" w:sz="0" w:space="0" w:color="auto"/>
          </w:divBdr>
        </w:div>
        <w:div w:id="649672989">
          <w:marLeft w:val="0"/>
          <w:marRight w:val="0"/>
          <w:marTop w:val="0"/>
          <w:marBottom w:val="0"/>
          <w:divBdr>
            <w:top w:val="none" w:sz="0" w:space="0" w:color="auto"/>
            <w:left w:val="none" w:sz="0" w:space="0" w:color="auto"/>
            <w:bottom w:val="none" w:sz="0" w:space="0" w:color="auto"/>
            <w:right w:val="none" w:sz="0" w:space="0" w:color="auto"/>
          </w:divBdr>
        </w:div>
        <w:div w:id="540170379">
          <w:marLeft w:val="0"/>
          <w:marRight w:val="0"/>
          <w:marTop w:val="0"/>
          <w:marBottom w:val="0"/>
          <w:divBdr>
            <w:top w:val="none" w:sz="0" w:space="0" w:color="auto"/>
            <w:left w:val="none" w:sz="0" w:space="0" w:color="auto"/>
            <w:bottom w:val="none" w:sz="0" w:space="0" w:color="auto"/>
            <w:right w:val="none" w:sz="0" w:space="0" w:color="auto"/>
          </w:divBdr>
        </w:div>
        <w:div w:id="1988976763">
          <w:marLeft w:val="0"/>
          <w:marRight w:val="0"/>
          <w:marTop w:val="0"/>
          <w:marBottom w:val="0"/>
          <w:divBdr>
            <w:top w:val="none" w:sz="0" w:space="0" w:color="auto"/>
            <w:left w:val="none" w:sz="0" w:space="0" w:color="auto"/>
            <w:bottom w:val="none" w:sz="0" w:space="0" w:color="auto"/>
            <w:right w:val="none" w:sz="0" w:space="0" w:color="auto"/>
          </w:divBdr>
        </w:div>
        <w:div w:id="2035230944">
          <w:marLeft w:val="0"/>
          <w:marRight w:val="0"/>
          <w:marTop w:val="0"/>
          <w:marBottom w:val="0"/>
          <w:divBdr>
            <w:top w:val="none" w:sz="0" w:space="0" w:color="auto"/>
            <w:left w:val="none" w:sz="0" w:space="0" w:color="auto"/>
            <w:bottom w:val="none" w:sz="0" w:space="0" w:color="auto"/>
            <w:right w:val="none" w:sz="0" w:space="0" w:color="auto"/>
          </w:divBdr>
        </w:div>
        <w:div w:id="940340771">
          <w:marLeft w:val="0"/>
          <w:marRight w:val="0"/>
          <w:marTop w:val="0"/>
          <w:marBottom w:val="0"/>
          <w:divBdr>
            <w:top w:val="none" w:sz="0" w:space="0" w:color="auto"/>
            <w:left w:val="none" w:sz="0" w:space="0" w:color="auto"/>
            <w:bottom w:val="none" w:sz="0" w:space="0" w:color="auto"/>
            <w:right w:val="none" w:sz="0" w:space="0" w:color="auto"/>
          </w:divBdr>
        </w:div>
        <w:div w:id="1355769496">
          <w:marLeft w:val="0"/>
          <w:marRight w:val="0"/>
          <w:marTop w:val="0"/>
          <w:marBottom w:val="0"/>
          <w:divBdr>
            <w:top w:val="none" w:sz="0" w:space="0" w:color="auto"/>
            <w:left w:val="none" w:sz="0" w:space="0" w:color="auto"/>
            <w:bottom w:val="none" w:sz="0" w:space="0" w:color="auto"/>
            <w:right w:val="none" w:sz="0" w:space="0" w:color="auto"/>
          </w:divBdr>
        </w:div>
        <w:div w:id="1923562006">
          <w:marLeft w:val="0"/>
          <w:marRight w:val="0"/>
          <w:marTop w:val="0"/>
          <w:marBottom w:val="0"/>
          <w:divBdr>
            <w:top w:val="none" w:sz="0" w:space="0" w:color="auto"/>
            <w:left w:val="none" w:sz="0" w:space="0" w:color="auto"/>
            <w:bottom w:val="none" w:sz="0" w:space="0" w:color="auto"/>
            <w:right w:val="none" w:sz="0" w:space="0" w:color="auto"/>
          </w:divBdr>
        </w:div>
        <w:div w:id="2059430722">
          <w:marLeft w:val="0"/>
          <w:marRight w:val="0"/>
          <w:marTop w:val="0"/>
          <w:marBottom w:val="0"/>
          <w:divBdr>
            <w:top w:val="none" w:sz="0" w:space="0" w:color="auto"/>
            <w:left w:val="none" w:sz="0" w:space="0" w:color="auto"/>
            <w:bottom w:val="none" w:sz="0" w:space="0" w:color="auto"/>
            <w:right w:val="none" w:sz="0" w:space="0" w:color="auto"/>
          </w:divBdr>
        </w:div>
        <w:div w:id="2100590151">
          <w:marLeft w:val="0"/>
          <w:marRight w:val="0"/>
          <w:marTop w:val="0"/>
          <w:marBottom w:val="0"/>
          <w:divBdr>
            <w:top w:val="none" w:sz="0" w:space="0" w:color="auto"/>
            <w:left w:val="none" w:sz="0" w:space="0" w:color="auto"/>
            <w:bottom w:val="none" w:sz="0" w:space="0" w:color="auto"/>
            <w:right w:val="none" w:sz="0" w:space="0" w:color="auto"/>
          </w:divBdr>
        </w:div>
        <w:div w:id="596402579">
          <w:marLeft w:val="0"/>
          <w:marRight w:val="0"/>
          <w:marTop w:val="0"/>
          <w:marBottom w:val="0"/>
          <w:divBdr>
            <w:top w:val="none" w:sz="0" w:space="0" w:color="auto"/>
            <w:left w:val="none" w:sz="0" w:space="0" w:color="auto"/>
            <w:bottom w:val="none" w:sz="0" w:space="0" w:color="auto"/>
            <w:right w:val="none" w:sz="0" w:space="0" w:color="auto"/>
          </w:divBdr>
        </w:div>
        <w:div w:id="1843009244">
          <w:marLeft w:val="0"/>
          <w:marRight w:val="0"/>
          <w:marTop w:val="0"/>
          <w:marBottom w:val="0"/>
          <w:divBdr>
            <w:top w:val="none" w:sz="0" w:space="0" w:color="auto"/>
            <w:left w:val="none" w:sz="0" w:space="0" w:color="auto"/>
            <w:bottom w:val="none" w:sz="0" w:space="0" w:color="auto"/>
            <w:right w:val="none" w:sz="0" w:space="0" w:color="auto"/>
          </w:divBdr>
        </w:div>
        <w:div w:id="102656203">
          <w:marLeft w:val="0"/>
          <w:marRight w:val="0"/>
          <w:marTop w:val="0"/>
          <w:marBottom w:val="0"/>
          <w:divBdr>
            <w:top w:val="none" w:sz="0" w:space="0" w:color="auto"/>
            <w:left w:val="none" w:sz="0" w:space="0" w:color="auto"/>
            <w:bottom w:val="none" w:sz="0" w:space="0" w:color="auto"/>
            <w:right w:val="none" w:sz="0" w:space="0" w:color="auto"/>
          </w:divBdr>
        </w:div>
        <w:div w:id="1274441450">
          <w:marLeft w:val="0"/>
          <w:marRight w:val="0"/>
          <w:marTop w:val="0"/>
          <w:marBottom w:val="0"/>
          <w:divBdr>
            <w:top w:val="none" w:sz="0" w:space="0" w:color="auto"/>
            <w:left w:val="none" w:sz="0" w:space="0" w:color="auto"/>
            <w:bottom w:val="none" w:sz="0" w:space="0" w:color="auto"/>
            <w:right w:val="none" w:sz="0" w:space="0" w:color="auto"/>
          </w:divBdr>
        </w:div>
        <w:div w:id="692803591">
          <w:marLeft w:val="0"/>
          <w:marRight w:val="0"/>
          <w:marTop w:val="0"/>
          <w:marBottom w:val="0"/>
          <w:divBdr>
            <w:top w:val="none" w:sz="0" w:space="0" w:color="auto"/>
            <w:left w:val="none" w:sz="0" w:space="0" w:color="auto"/>
            <w:bottom w:val="none" w:sz="0" w:space="0" w:color="auto"/>
            <w:right w:val="none" w:sz="0" w:space="0" w:color="auto"/>
          </w:divBdr>
        </w:div>
        <w:div w:id="927229413">
          <w:marLeft w:val="0"/>
          <w:marRight w:val="0"/>
          <w:marTop w:val="0"/>
          <w:marBottom w:val="0"/>
          <w:divBdr>
            <w:top w:val="none" w:sz="0" w:space="0" w:color="auto"/>
            <w:left w:val="none" w:sz="0" w:space="0" w:color="auto"/>
            <w:bottom w:val="none" w:sz="0" w:space="0" w:color="auto"/>
            <w:right w:val="none" w:sz="0" w:space="0" w:color="auto"/>
          </w:divBdr>
        </w:div>
        <w:div w:id="847868916">
          <w:marLeft w:val="0"/>
          <w:marRight w:val="0"/>
          <w:marTop w:val="0"/>
          <w:marBottom w:val="0"/>
          <w:divBdr>
            <w:top w:val="none" w:sz="0" w:space="0" w:color="auto"/>
            <w:left w:val="none" w:sz="0" w:space="0" w:color="auto"/>
            <w:bottom w:val="none" w:sz="0" w:space="0" w:color="auto"/>
            <w:right w:val="none" w:sz="0" w:space="0" w:color="auto"/>
          </w:divBdr>
        </w:div>
        <w:div w:id="1973555532">
          <w:marLeft w:val="0"/>
          <w:marRight w:val="0"/>
          <w:marTop w:val="0"/>
          <w:marBottom w:val="0"/>
          <w:divBdr>
            <w:top w:val="none" w:sz="0" w:space="0" w:color="auto"/>
            <w:left w:val="none" w:sz="0" w:space="0" w:color="auto"/>
            <w:bottom w:val="none" w:sz="0" w:space="0" w:color="auto"/>
            <w:right w:val="none" w:sz="0" w:space="0" w:color="auto"/>
          </w:divBdr>
        </w:div>
        <w:div w:id="234439498">
          <w:marLeft w:val="0"/>
          <w:marRight w:val="0"/>
          <w:marTop w:val="0"/>
          <w:marBottom w:val="0"/>
          <w:divBdr>
            <w:top w:val="none" w:sz="0" w:space="0" w:color="auto"/>
            <w:left w:val="none" w:sz="0" w:space="0" w:color="auto"/>
            <w:bottom w:val="none" w:sz="0" w:space="0" w:color="auto"/>
            <w:right w:val="none" w:sz="0" w:space="0" w:color="auto"/>
          </w:divBdr>
        </w:div>
        <w:div w:id="16278024">
          <w:marLeft w:val="0"/>
          <w:marRight w:val="0"/>
          <w:marTop w:val="0"/>
          <w:marBottom w:val="0"/>
          <w:divBdr>
            <w:top w:val="none" w:sz="0" w:space="0" w:color="auto"/>
            <w:left w:val="none" w:sz="0" w:space="0" w:color="auto"/>
            <w:bottom w:val="none" w:sz="0" w:space="0" w:color="auto"/>
            <w:right w:val="none" w:sz="0" w:space="0" w:color="auto"/>
          </w:divBdr>
        </w:div>
        <w:div w:id="1980649525">
          <w:marLeft w:val="0"/>
          <w:marRight w:val="0"/>
          <w:marTop w:val="0"/>
          <w:marBottom w:val="0"/>
          <w:divBdr>
            <w:top w:val="none" w:sz="0" w:space="0" w:color="auto"/>
            <w:left w:val="none" w:sz="0" w:space="0" w:color="auto"/>
            <w:bottom w:val="none" w:sz="0" w:space="0" w:color="auto"/>
            <w:right w:val="none" w:sz="0" w:space="0" w:color="auto"/>
          </w:divBdr>
        </w:div>
        <w:div w:id="634413713">
          <w:marLeft w:val="0"/>
          <w:marRight w:val="0"/>
          <w:marTop w:val="0"/>
          <w:marBottom w:val="0"/>
          <w:divBdr>
            <w:top w:val="none" w:sz="0" w:space="0" w:color="auto"/>
            <w:left w:val="none" w:sz="0" w:space="0" w:color="auto"/>
            <w:bottom w:val="none" w:sz="0" w:space="0" w:color="auto"/>
            <w:right w:val="none" w:sz="0" w:space="0" w:color="auto"/>
          </w:divBdr>
        </w:div>
        <w:div w:id="1943760240">
          <w:marLeft w:val="0"/>
          <w:marRight w:val="0"/>
          <w:marTop w:val="0"/>
          <w:marBottom w:val="0"/>
          <w:divBdr>
            <w:top w:val="none" w:sz="0" w:space="0" w:color="auto"/>
            <w:left w:val="none" w:sz="0" w:space="0" w:color="auto"/>
            <w:bottom w:val="none" w:sz="0" w:space="0" w:color="auto"/>
            <w:right w:val="none" w:sz="0" w:space="0" w:color="auto"/>
          </w:divBdr>
        </w:div>
        <w:div w:id="2018144854">
          <w:marLeft w:val="0"/>
          <w:marRight w:val="0"/>
          <w:marTop w:val="0"/>
          <w:marBottom w:val="0"/>
          <w:divBdr>
            <w:top w:val="none" w:sz="0" w:space="0" w:color="auto"/>
            <w:left w:val="none" w:sz="0" w:space="0" w:color="auto"/>
            <w:bottom w:val="none" w:sz="0" w:space="0" w:color="auto"/>
            <w:right w:val="none" w:sz="0" w:space="0" w:color="auto"/>
          </w:divBdr>
        </w:div>
      </w:divsChild>
    </w:div>
    <w:div w:id="1777477296">
      <w:bodyDiv w:val="1"/>
      <w:marLeft w:val="0"/>
      <w:marRight w:val="0"/>
      <w:marTop w:val="0"/>
      <w:marBottom w:val="0"/>
      <w:divBdr>
        <w:top w:val="none" w:sz="0" w:space="0" w:color="auto"/>
        <w:left w:val="none" w:sz="0" w:space="0" w:color="auto"/>
        <w:bottom w:val="none" w:sz="0" w:space="0" w:color="auto"/>
        <w:right w:val="none" w:sz="0" w:space="0" w:color="auto"/>
      </w:divBdr>
      <w:divsChild>
        <w:div w:id="1855418796">
          <w:marLeft w:val="0"/>
          <w:marRight w:val="0"/>
          <w:marTop w:val="0"/>
          <w:marBottom w:val="0"/>
          <w:divBdr>
            <w:top w:val="none" w:sz="0" w:space="0" w:color="auto"/>
            <w:left w:val="none" w:sz="0" w:space="0" w:color="auto"/>
            <w:bottom w:val="none" w:sz="0" w:space="0" w:color="auto"/>
            <w:right w:val="none" w:sz="0" w:space="0" w:color="auto"/>
          </w:divBdr>
        </w:div>
        <w:div w:id="269973628">
          <w:marLeft w:val="0"/>
          <w:marRight w:val="0"/>
          <w:marTop w:val="0"/>
          <w:marBottom w:val="0"/>
          <w:divBdr>
            <w:top w:val="none" w:sz="0" w:space="0" w:color="auto"/>
            <w:left w:val="none" w:sz="0" w:space="0" w:color="auto"/>
            <w:bottom w:val="none" w:sz="0" w:space="0" w:color="auto"/>
            <w:right w:val="none" w:sz="0" w:space="0" w:color="auto"/>
          </w:divBdr>
        </w:div>
        <w:div w:id="1431659962">
          <w:marLeft w:val="0"/>
          <w:marRight w:val="0"/>
          <w:marTop w:val="0"/>
          <w:marBottom w:val="0"/>
          <w:divBdr>
            <w:top w:val="none" w:sz="0" w:space="0" w:color="auto"/>
            <w:left w:val="none" w:sz="0" w:space="0" w:color="auto"/>
            <w:bottom w:val="none" w:sz="0" w:space="0" w:color="auto"/>
            <w:right w:val="none" w:sz="0" w:space="0" w:color="auto"/>
          </w:divBdr>
        </w:div>
        <w:div w:id="925070986">
          <w:marLeft w:val="0"/>
          <w:marRight w:val="0"/>
          <w:marTop w:val="0"/>
          <w:marBottom w:val="0"/>
          <w:divBdr>
            <w:top w:val="none" w:sz="0" w:space="0" w:color="auto"/>
            <w:left w:val="none" w:sz="0" w:space="0" w:color="auto"/>
            <w:bottom w:val="none" w:sz="0" w:space="0" w:color="auto"/>
            <w:right w:val="none" w:sz="0" w:space="0" w:color="auto"/>
          </w:divBdr>
        </w:div>
        <w:div w:id="647173199">
          <w:marLeft w:val="0"/>
          <w:marRight w:val="0"/>
          <w:marTop w:val="0"/>
          <w:marBottom w:val="0"/>
          <w:divBdr>
            <w:top w:val="none" w:sz="0" w:space="0" w:color="auto"/>
            <w:left w:val="none" w:sz="0" w:space="0" w:color="auto"/>
            <w:bottom w:val="none" w:sz="0" w:space="0" w:color="auto"/>
            <w:right w:val="none" w:sz="0" w:space="0" w:color="auto"/>
          </w:divBdr>
        </w:div>
        <w:div w:id="985426859">
          <w:marLeft w:val="0"/>
          <w:marRight w:val="0"/>
          <w:marTop w:val="0"/>
          <w:marBottom w:val="0"/>
          <w:divBdr>
            <w:top w:val="none" w:sz="0" w:space="0" w:color="auto"/>
            <w:left w:val="none" w:sz="0" w:space="0" w:color="auto"/>
            <w:bottom w:val="none" w:sz="0" w:space="0" w:color="auto"/>
            <w:right w:val="none" w:sz="0" w:space="0" w:color="auto"/>
          </w:divBdr>
        </w:div>
        <w:div w:id="467162802">
          <w:marLeft w:val="0"/>
          <w:marRight w:val="0"/>
          <w:marTop w:val="0"/>
          <w:marBottom w:val="0"/>
          <w:divBdr>
            <w:top w:val="none" w:sz="0" w:space="0" w:color="auto"/>
            <w:left w:val="none" w:sz="0" w:space="0" w:color="auto"/>
            <w:bottom w:val="none" w:sz="0" w:space="0" w:color="auto"/>
            <w:right w:val="none" w:sz="0" w:space="0" w:color="auto"/>
          </w:divBdr>
        </w:div>
        <w:div w:id="497498629">
          <w:marLeft w:val="0"/>
          <w:marRight w:val="0"/>
          <w:marTop w:val="0"/>
          <w:marBottom w:val="0"/>
          <w:divBdr>
            <w:top w:val="none" w:sz="0" w:space="0" w:color="auto"/>
            <w:left w:val="none" w:sz="0" w:space="0" w:color="auto"/>
            <w:bottom w:val="none" w:sz="0" w:space="0" w:color="auto"/>
            <w:right w:val="none" w:sz="0" w:space="0" w:color="auto"/>
          </w:divBdr>
        </w:div>
        <w:div w:id="1923031280">
          <w:marLeft w:val="0"/>
          <w:marRight w:val="0"/>
          <w:marTop w:val="0"/>
          <w:marBottom w:val="0"/>
          <w:divBdr>
            <w:top w:val="none" w:sz="0" w:space="0" w:color="auto"/>
            <w:left w:val="none" w:sz="0" w:space="0" w:color="auto"/>
            <w:bottom w:val="none" w:sz="0" w:space="0" w:color="auto"/>
            <w:right w:val="none" w:sz="0" w:space="0" w:color="auto"/>
          </w:divBdr>
        </w:div>
        <w:div w:id="747463204">
          <w:marLeft w:val="0"/>
          <w:marRight w:val="0"/>
          <w:marTop w:val="0"/>
          <w:marBottom w:val="0"/>
          <w:divBdr>
            <w:top w:val="none" w:sz="0" w:space="0" w:color="auto"/>
            <w:left w:val="none" w:sz="0" w:space="0" w:color="auto"/>
            <w:bottom w:val="none" w:sz="0" w:space="0" w:color="auto"/>
            <w:right w:val="none" w:sz="0" w:space="0" w:color="auto"/>
          </w:divBdr>
        </w:div>
        <w:div w:id="617493957">
          <w:marLeft w:val="0"/>
          <w:marRight w:val="0"/>
          <w:marTop w:val="0"/>
          <w:marBottom w:val="0"/>
          <w:divBdr>
            <w:top w:val="none" w:sz="0" w:space="0" w:color="auto"/>
            <w:left w:val="none" w:sz="0" w:space="0" w:color="auto"/>
            <w:bottom w:val="none" w:sz="0" w:space="0" w:color="auto"/>
            <w:right w:val="none" w:sz="0" w:space="0" w:color="auto"/>
          </w:divBdr>
        </w:div>
        <w:div w:id="1588344289">
          <w:marLeft w:val="0"/>
          <w:marRight w:val="0"/>
          <w:marTop w:val="0"/>
          <w:marBottom w:val="0"/>
          <w:divBdr>
            <w:top w:val="none" w:sz="0" w:space="0" w:color="auto"/>
            <w:left w:val="none" w:sz="0" w:space="0" w:color="auto"/>
            <w:bottom w:val="none" w:sz="0" w:space="0" w:color="auto"/>
            <w:right w:val="none" w:sz="0" w:space="0" w:color="auto"/>
          </w:divBdr>
        </w:div>
        <w:div w:id="285887887">
          <w:marLeft w:val="0"/>
          <w:marRight w:val="0"/>
          <w:marTop w:val="0"/>
          <w:marBottom w:val="0"/>
          <w:divBdr>
            <w:top w:val="none" w:sz="0" w:space="0" w:color="auto"/>
            <w:left w:val="none" w:sz="0" w:space="0" w:color="auto"/>
            <w:bottom w:val="none" w:sz="0" w:space="0" w:color="auto"/>
            <w:right w:val="none" w:sz="0" w:space="0" w:color="auto"/>
          </w:divBdr>
        </w:div>
        <w:div w:id="161747018">
          <w:marLeft w:val="0"/>
          <w:marRight w:val="0"/>
          <w:marTop w:val="0"/>
          <w:marBottom w:val="0"/>
          <w:divBdr>
            <w:top w:val="none" w:sz="0" w:space="0" w:color="auto"/>
            <w:left w:val="none" w:sz="0" w:space="0" w:color="auto"/>
            <w:bottom w:val="none" w:sz="0" w:space="0" w:color="auto"/>
            <w:right w:val="none" w:sz="0" w:space="0" w:color="auto"/>
          </w:divBdr>
        </w:div>
        <w:div w:id="2036077275">
          <w:marLeft w:val="0"/>
          <w:marRight w:val="0"/>
          <w:marTop w:val="0"/>
          <w:marBottom w:val="0"/>
          <w:divBdr>
            <w:top w:val="none" w:sz="0" w:space="0" w:color="auto"/>
            <w:left w:val="none" w:sz="0" w:space="0" w:color="auto"/>
            <w:bottom w:val="none" w:sz="0" w:space="0" w:color="auto"/>
            <w:right w:val="none" w:sz="0" w:space="0" w:color="auto"/>
          </w:divBdr>
        </w:div>
        <w:div w:id="1887519259">
          <w:marLeft w:val="0"/>
          <w:marRight w:val="0"/>
          <w:marTop w:val="0"/>
          <w:marBottom w:val="0"/>
          <w:divBdr>
            <w:top w:val="none" w:sz="0" w:space="0" w:color="auto"/>
            <w:left w:val="none" w:sz="0" w:space="0" w:color="auto"/>
            <w:bottom w:val="none" w:sz="0" w:space="0" w:color="auto"/>
            <w:right w:val="none" w:sz="0" w:space="0" w:color="auto"/>
          </w:divBdr>
        </w:div>
        <w:div w:id="425929211">
          <w:marLeft w:val="0"/>
          <w:marRight w:val="0"/>
          <w:marTop w:val="0"/>
          <w:marBottom w:val="0"/>
          <w:divBdr>
            <w:top w:val="none" w:sz="0" w:space="0" w:color="auto"/>
            <w:left w:val="none" w:sz="0" w:space="0" w:color="auto"/>
            <w:bottom w:val="none" w:sz="0" w:space="0" w:color="auto"/>
            <w:right w:val="none" w:sz="0" w:space="0" w:color="auto"/>
          </w:divBdr>
        </w:div>
        <w:div w:id="698821321">
          <w:marLeft w:val="0"/>
          <w:marRight w:val="0"/>
          <w:marTop w:val="0"/>
          <w:marBottom w:val="0"/>
          <w:divBdr>
            <w:top w:val="none" w:sz="0" w:space="0" w:color="auto"/>
            <w:left w:val="none" w:sz="0" w:space="0" w:color="auto"/>
            <w:bottom w:val="none" w:sz="0" w:space="0" w:color="auto"/>
            <w:right w:val="none" w:sz="0" w:space="0" w:color="auto"/>
          </w:divBdr>
        </w:div>
        <w:div w:id="127824945">
          <w:marLeft w:val="0"/>
          <w:marRight w:val="0"/>
          <w:marTop w:val="0"/>
          <w:marBottom w:val="0"/>
          <w:divBdr>
            <w:top w:val="none" w:sz="0" w:space="0" w:color="auto"/>
            <w:left w:val="none" w:sz="0" w:space="0" w:color="auto"/>
            <w:bottom w:val="none" w:sz="0" w:space="0" w:color="auto"/>
            <w:right w:val="none" w:sz="0" w:space="0" w:color="auto"/>
          </w:divBdr>
        </w:div>
        <w:div w:id="446198288">
          <w:marLeft w:val="0"/>
          <w:marRight w:val="0"/>
          <w:marTop w:val="0"/>
          <w:marBottom w:val="0"/>
          <w:divBdr>
            <w:top w:val="none" w:sz="0" w:space="0" w:color="auto"/>
            <w:left w:val="none" w:sz="0" w:space="0" w:color="auto"/>
            <w:bottom w:val="none" w:sz="0" w:space="0" w:color="auto"/>
            <w:right w:val="none" w:sz="0" w:space="0" w:color="auto"/>
          </w:divBdr>
        </w:div>
        <w:div w:id="2126926350">
          <w:marLeft w:val="0"/>
          <w:marRight w:val="0"/>
          <w:marTop w:val="0"/>
          <w:marBottom w:val="0"/>
          <w:divBdr>
            <w:top w:val="none" w:sz="0" w:space="0" w:color="auto"/>
            <w:left w:val="none" w:sz="0" w:space="0" w:color="auto"/>
            <w:bottom w:val="none" w:sz="0" w:space="0" w:color="auto"/>
            <w:right w:val="none" w:sz="0" w:space="0" w:color="auto"/>
          </w:divBdr>
        </w:div>
        <w:div w:id="2104572621">
          <w:marLeft w:val="0"/>
          <w:marRight w:val="0"/>
          <w:marTop w:val="0"/>
          <w:marBottom w:val="0"/>
          <w:divBdr>
            <w:top w:val="none" w:sz="0" w:space="0" w:color="auto"/>
            <w:left w:val="none" w:sz="0" w:space="0" w:color="auto"/>
            <w:bottom w:val="none" w:sz="0" w:space="0" w:color="auto"/>
            <w:right w:val="none" w:sz="0" w:space="0" w:color="auto"/>
          </w:divBdr>
        </w:div>
        <w:div w:id="1776746597">
          <w:marLeft w:val="0"/>
          <w:marRight w:val="0"/>
          <w:marTop w:val="0"/>
          <w:marBottom w:val="0"/>
          <w:divBdr>
            <w:top w:val="none" w:sz="0" w:space="0" w:color="auto"/>
            <w:left w:val="none" w:sz="0" w:space="0" w:color="auto"/>
            <w:bottom w:val="none" w:sz="0" w:space="0" w:color="auto"/>
            <w:right w:val="none" w:sz="0" w:space="0" w:color="auto"/>
          </w:divBdr>
        </w:div>
        <w:div w:id="536041207">
          <w:marLeft w:val="0"/>
          <w:marRight w:val="0"/>
          <w:marTop w:val="0"/>
          <w:marBottom w:val="0"/>
          <w:divBdr>
            <w:top w:val="none" w:sz="0" w:space="0" w:color="auto"/>
            <w:left w:val="none" w:sz="0" w:space="0" w:color="auto"/>
            <w:bottom w:val="none" w:sz="0" w:space="0" w:color="auto"/>
            <w:right w:val="none" w:sz="0" w:space="0" w:color="auto"/>
          </w:divBdr>
        </w:div>
        <w:div w:id="1473326314">
          <w:marLeft w:val="0"/>
          <w:marRight w:val="0"/>
          <w:marTop w:val="0"/>
          <w:marBottom w:val="0"/>
          <w:divBdr>
            <w:top w:val="none" w:sz="0" w:space="0" w:color="auto"/>
            <w:left w:val="none" w:sz="0" w:space="0" w:color="auto"/>
            <w:bottom w:val="none" w:sz="0" w:space="0" w:color="auto"/>
            <w:right w:val="none" w:sz="0" w:space="0" w:color="auto"/>
          </w:divBdr>
        </w:div>
        <w:div w:id="795022138">
          <w:marLeft w:val="0"/>
          <w:marRight w:val="0"/>
          <w:marTop w:val="0"/>
          <w:marBottom w:val="0"/>
          <w:divBdr>
            <w:top w:val="none" w:sz="0" w:space="0" w:color="auto"/>
            <w:left w:val="none" w:sz="0" w:space="0" w:color="auto"/>
            <w:bottom w:val="none" w:sz="0" w:space="0" w:color="auto"/>
            <w:right w:val="none" w:sz="0" w:space="0" w:color="auto"/>
          </w:divBdr>
        </w:div>
        <w:div w:id="350110535">
          <w:marLeft w:val="0"/>
          <w:marRight w:val="0"/>
          <w:marTop w:val="0"/>
          <w:marBottom w:val="0"/>
          <w:divBdr>
            <w:top w:val="none" w:sz="0" w:space="0" w:color="auto"/>
            <w:left w:val="none" w:sz="0" w:space="0" w:color="auto"/>
            <w:bottom w:val="none" w:sz="0" w:space="0" w:color="auto"/>
            <w:right w:val="none" w:sz="0" w:space="0" w:color="auto"/>
          </w:divBdr>
        </w:div>
        <w:div w:id="383136838">
          <w:marLeft w:val="0"/>
          <w:marRight w:val="0"/>
          <w:marTop w:val="0"/>
          <w:marBottom w:val="0"/>
          <w:divBdr>
            <w:top w:val="none" w:sz="0" w:space="0" w:color="auto"/>
            <w:left w:val="none" w:sz="0" w:space="0" w:color="auto"/>
            <w:bottom w:val="none" w:sz="0" w:space="0" w:color="auto"/>
            <w:right w:val="none" w:sz="0" w:space="0" w:color="auto"/>
          </w:divBdr>
        </w:div>
        <w:div w:id="1788163666">
          <w:marLeft w:val="0"/>
          <w:marRight w:val="0"/>
          <w:marTop w:val="0"/>
          <w:marBottom w:val="0"/>
          <w:divBdr>
            <w:top w:val="none" w:sz="0" w:space="0" w:color="auto"/>
            <w:left w:val="none" w:sz="0" w:space="0" w:color="auto"/>
            <w:bottom w:val="none" w:sz="0" w:space="0" w:color="auto"/>
            <w:right w:val="none" w:sz="0" w:space="0" w:color="auto"/>
          </w:divBdr>
        </w:div>
        <w:div w:id="18814767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aidsinstitute.net/documents/2021_TAI_Double-Dipping_Final-031621.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DDBE9125EB1542A4AD9ECF45270B44" ma:contentTypeVersion="16" ma:contentTypeDescription="Create a new document." ma:contentTypeScope="" ma:versionID="cc69161837ff130e3628b6657983691a">
  <xsd:schema xmlns:xsd="http://www.w3.org/2001/XMLSchema" xmlns:xs="http://www.w3.org/2001/XMLSchema" xmlns:p="http://schemas.microsoft.com/office/2006/metadata/properties" xmlns:ns1="http://schemas.microsoft.com/sharepoint/v3" xmlns:ns2="8b67c7c4-05cd-43d9-aac5-3212081e3d88" xmlns:ns3="db333e17-ed41-49d5-bb43-d0b09dac0f4b" targetNamespace="http://schemas.microsoft.com/office/2006/metadata/properties" ma:root="true" ma:fieldsID="7479504ada1b56ce9a06b19ddc6a3117" ns1:_="" ns2:_="" ns3:_="">
    <xsd:import namespace="http://schemas.microsoft.com/sharepoint/v3"/>
    <xsd:import namespace="8b67c7c4-05cd-43d9-aac5-3212081e3d88"/>
    <xsd:import namespace="db333e17-ed41-49d5-bb43-d0b09dac0f4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Location" minOccurs="0"/>
                <xsd:element ref="ns2:MediaServiceOCR" minOccurs="0"/>
                <xsd:element ref="ns2:MediaServiceEventHashCode" minOccurs="0"/>
                <xsd:element ref="ns2:MediaServiceGenerationTim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67c7c4-05cd-43d9-aac5-3212081e3d8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333e17-ed41-49d5-bb43-d0b09dac0f4b"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8b67c7c4-05cd-43d9-aac5-3212081e3d88" xsi:nil="true"/>
  </documentManagement>
</p:properties>
</file>

<file path=customXml/itemProps1.xml><?xml version="1.0" encoding="utf-8"?>
<ds:datastoreItem xmlns:ds="http://schemas.openxmlformats.org/officeDocument/2006/customXml" ds:itemID="{C71D8886-D7B7-47C7-84FE-DD235E95C2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b67c7c4-05cd-43d9-aac5-3212081e3d88"/>
    <ds:schemaRef ds:uri="db333e17-ed41-49d5-bb43-d0b09dac0f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5A2A29-6D3F-4A49-BAC2-983408AB2B2A}">
  <ds:schemaRefs>
    <ds:schemaRef ds:uri="http://schemas.openxmlformats.org/officeDocument/2006/bibliography"/>
  </ds:schemaRefs>
</ds:datastoreItem>
</file>

<file path=customXml/itemProps3.xml><?xml version="1.0" encoding="utf-8"?>
<ds:datastoreItem xmlns:ds="http://schemas.openxmlformats.org/officeDocument/2006/customXml" ds:itemID="{4BE39A1D-CE61-4545-9ADD-C2EF4377CF8C}">
  <ds:schemaRefs>
    <ds:schemaRef ds:uri="http://schemas.microsoft.com/sharepoint/v3/contenttype/forms"/>
  </ds:schemaRefs>
</ds:datastoreItem>
</file>

<file path=customXml/itemProps4.xml><?xml version="1.0" encoding="utf-8"?>
<ds:datastoreItem xmlns:ds="http://schemas.openxmlformats.org/officeDocument/2006/customXml" ds:itemID="{37B8650D-E28F-46BA-82C4-C05264F6932B}">
  <ds:schemaRefs>
    <ds:schemaRef ds:uri="http://purl.org/dc/terms/"/>
    <ds:schemaRef ds:uri="http://schemas.openxmlformats.org/package/2006/metadata/core-properties"/>
    <ds:schemaRef ds:uri="http://schemas.microsoft.com/office/2006/documentManagement/types"/>
    <ds:schemaRef ds:uri="db333e17-ed41-49d5-bb43-d0b09dac0f4b"/>
    <ds:schemaRef ds:uri="http://purl.org/dc/elements/1.1/"/>
    <ds:schemaRef ds:uri="http://schemas.microsoft.com/office/2006/metadata/properties"/>
    <ds:schemaRef ds:uri="http://schemas.microsoft.com/sharepoint/v3"/>
    <ds:schemaRef ds:uri="http://schemas.microsoft.com/office/infopath/2007/PartnerControls"/>
    <ds:schemaRef ds:uri="8b67c7c4-05cd-43d9-aac5-3212081e3d88"/>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1045</TotalTime>
  <Pages>4</Pages>
  <Words>1443</Words>
  <Characters>8231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Schultz</dc:creator>
  <cp:keywords/>
  <dc:description/>
  <cp:lastModifiedBy>Steven Schultz</cp:lastModifiedBy>
  <cp:revision>52</cp:revision>
  <cp:lastPrinted>2021-01-19T21:53:00Z</cp:lastPrinted>
  <dcterms:created xsi:type="dcterms:W3CDTF">2021-08-12T21:42:00Z</dcterms:created>
  <dcterms:modified xsi:type="dcterms:W3CDTF">2022-03-08T01:25:00Z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0x010100EADDBE9125EB1542A4AD9ECF45270B44</vt:lpwstr>
  </property>
</Properties>
</file>