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73F1" w:rsidR="00AD0AC1" w:rsidP="4071094F" w:rsidRDefault="00AD0AC1" w14:paraId="121360AA" w14:textId="6D47A89E">
      <w:pPr>
        <w:keepLines w:val="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05DC229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Tuesday May 14, 2024</w:t>
      </w:r>
    </w:p>
    <w:p w:rsidR="4071094F" w:rsidP="4071094F" w:rsidRDefault="4071094F" w14:paraId="1896D113" w14:textId="4BF59DE4">
      <w:pPr>
        <w:pStyle w:val="Normal"/>
        <w:keepLines w:val="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9873F1" w:rsidR="00AD0AC1" w:rsidP="4071094F" w:rsidRDefault="00AD0AC1" w14:paraId="0C70194B" w14:textId="40B37F3B">
      <w:pPr>
        <w:keepLines w:val="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The Honorable Zac</w:t>
      </w:r>
      <w:r w:rsidRPr="4071094F" w:rsidR="5C2228E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</w:t>
      </w: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Stephenson</w:t>
      </w:r>
    </w:p>
    <w:p w:rsidRPr="009873F1" w:rsidR="00AD0AC1" w:rsidP="4071094F" w:rsidRDefault="00AD0AC1" w14:paraId="4386F7AC" w14:textId="016585B5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Via email: </w:t>
      </w:r>
      <w:hyperlink r:id="R654034a13d65489e">
        <w:r w:rsidRPr="4071094F" w:rsidR="26E4312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Rep.zack.stephenson@house.mn.gov</w:t>
        </w:r>
      </w:hyperlink>
    </w:p>
    <w:p w:rsidRPr="009873F1" w:rsidR="00AD0AC1" w:rsidP="4071094F" w:rsidRDefault="00AD0AC1" w14:paraId="2BD86421" w14:textId="77777777">
      <w:pPr>
        <w:keepLines w:val="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The Honorable Lindsey Port</w:t>
      </w:r>
    </w:p>
    <w:p w:rsidRPr="009873F1" w:rsidR="00AD0AC1" w:rsidP="4071094F" w:rsidRDefault="00AD0AC1" w14:paraId="278611AB" w14:textId="13D44F2A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Via email: </w:t>
      </w:r>
      <w:hyperlink r:id="R88c8b0fa63924c7b">
        <w:r w:rsidRPr="4071094F" w:rsidR="652399B6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Sen.Lindsey.port@senate.mn</w:t>
        </w:r>
      </w:hyperlink>
    </w:p>
    <w:p w:rsidRPr="009873F1" w:rsidR="00AD0AC1" w:rsidP="4071094F" w:rsidRDefault="00AD0AC1" w14:paraId="5D609221" w14:textId="77777777">
      <w:pPr>
        <w:keepLines w:val="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9873F1" w:rsidR="00AD0AC1" w:rsidP="4071094F" w:rsidRDefault="00AD0AC1" w14:paraId="5CD2E0FD" w14:textId="77777777">
      <w:pPr>
        <w:ind w:left="720" w:hanging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9873F1" w:rsidR="00AD0AC1" w:rsidP="4071094F" w:rsidRDefault="00AD0AC1" w14:paraId="210E446C" w14:textId="7CE01DD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Dea</w:t>
      </w: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</w:t>
      </w: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Senator Port</w:t>
      </w:r>
      <w:r w:rsidRPr="4071094F" w:rsidR="468127F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Representative Stephenson</w:t>
      </w:r>
      <w:r w:rsidRPr="4071094F" w:rsidR="24CAFA1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and members of the </w:t>
      </w:r>
      <w:r w:rsidRPr="4071094F" w:rsidR="6A16C91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Conference Commitee</w:t>
      </w: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</w:p>
    <w:p w:rsidRPr="009873F1" w:rsidR="00AD0AC1" w:rsidP="4071094F" w:rsidRDefault="00AD0AC1" w14:paraId="3B639609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9873F1" w:rsidR="00AD0AC1" w:rsidP="4071094F" w:rsidRDefault="00660010" w14:paraId="08990883" w14:textId="38A5B9D2">
      <w:pPr>
        <w:pStyle w:val="Normal"/>
        <w:spacing w:after="220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On behalf of Green Thumb Industries</w:t>
      </w:r>
      <w:r w:rsidRPr="4071094F" w:rsidR="72A0897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(GTI)</w:t>
      </w:r>
      <w:r w:rsidRPr="4071094F" w:rsidR="38E3CE7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formerly </w:t>
      </w:r>
      <w:r w:rsidRPr="4071094F" w:rsidR="38E3CE7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LeafLine</w:t>
      </w:r>
      <w:r w:rsidRPr="4071094F" w:rsidR="38E3CE7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Labs,</w:t>
      </w:r>
      <w:r w:rsidRPr="4071094F" w:rsidR="1BA662E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 write today urging you to </w:t>
      </w:r>
      <w:r w:rsidRPr="4071094F" w:rsidR="34B60E6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pass legislation that would </w:t>
      </w:r>
      <w:r w:rsidRPr="4071094F" w:rsidR="3F30011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fully integrate the experience and infrastructure of the existing medical cannabis licensees, allowing us to </w:t>
      </w:r>
      <w:r w:rsidRPr="4071094F" w:rsidR="3F30011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maintain</w:t>
      </w:r>
      <w:r w:rsidRPr="4071094F" w:rsidR="3F30011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3F30011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 viable</w:t>
      </w:r>
      <w:r w:rsidRPr="4071094F" w:rsidR="3F30011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business and to best serve the Minnesota patients that are the backbone of the medical program. Even more imperative, I encourage you to </w:t>
      </w:r>
      <w:r w:rsidRPr="4071094F" w:rsidR="3F30011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establish</w:t>
      </w:r>
      <w:r w:rsidRPr="4071094F" w:rsidR="3F30011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34B60E6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 single supply chain for Minnesota’s </w:t>
      </w:r>
      <w:r w:rsidRPr="4071094F" w:rsidR="19A0B62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medical and adult</w:t>
      </w:r>
      <w:r w:rsidRPr="4071094F" w:rsidR="248E4FF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-</w:t>
      </w:r>
      <w:r w:rsidRPr="4071094F" w:rsidR="19A0B62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use cannabis programs</w:t>
      </w:r>
      <w:r w:rsidRPr="4071094F" w:rsidR="2BCDBFB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2BCDBFB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and </w:t>
      </w:r>
      <w:r w:rsidRPr="4071094F" w:rsidR="2BCDBFB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eliminate</w:t>
      </w:r>
      <w:r w:rsidRPr="4071094F" w:rsidR="2BCDBFB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the canopy ratio restriction applicable to medical cannabis combination business licenses (the “ratio restriction,” which </w:t>
      </w:r>
      <w:r w:rsidRPr="4071094F" w:rsidR="6D162C3A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begins on line 100.16 of HF 4757</w:t>
      </w:r>
      <w:r w:rsidRPr="4071094F" w:rsidR="2BCDBFB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).</w:t>
      </w:r>
    </w:p>
    <w:p w:rsidRPr="009873F1" w:rsidR="00AD0AC1" w:rsidP="4071094F" w:rsidRDefault="00660010" w14:paraId="4AE6894C" w14:textId="58E12544">
      <w:pPr>
        <w:pStyle w:val="Normal"/>
        <w:spacing w:after="2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54F6B9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Our investment and dedication to Minnesota’s cannabis industry </w:t>
      </w:r>
      <w:bookmarkStart w:name="_Int_z64zx96Z" w:id="1"/>
      <w:r w:rsidRPr="4071094F" w:rsidR="1BB6498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demonstrates</w:t>
      </w:r>
      <w:bookmarkEnd w:id="1"/>
      <w:r w:rsidRPr="4071094F" w:rsidR="1BB6498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73C1DC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our commitment to the state’s overall cannabis framework. </w:t>
      </w:r>
      <w:r w:rsidRPr="4071094F" w:rsidR="7C0F392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Since 2015</w:t>
      </w:r>
      <w:r w:rsidRPr="4071094F" w:rsidR="043E910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4071094F" w:rsidR="043E910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LeafLine</w:t>
      </w:r>
      <w:r w:rsidRPr="4071094F" w:rsidR="1FB80CD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4071094F" w:rsidR="29A246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142352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and </w:t>
      </w:r>
      <w:r w:rsidRPr="4071094F" w:rsidR="13B31B9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now</w:t>
      </w:r>
      <w:r w:rsidRPr="4071094F" w:rsidR="7A3889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142352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GTI</w:t>
      </w:r>
      <w:r w:rsidRPr="4071094F" w:rsidR="1FB80CD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4071094F" w:rsidR="142352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2F3B7EF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has</w:t>
      </w:r>
      <w:r w:rsidRPr="4071094F" w:rsidR="2F3B7EF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36E8FA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worked in collaboration with the </w:t>
      </w:r>
      <w:r w:rsidRPr="4071094F" w:rsidR="2F3B7EF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</w:t>
      </w:r>
      <w:r w:rsidRPr="4071094F" w:rsidR="36E8FA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tate </w:t>
      </w:r>
      <w:r w:rsidRPr="4071094F" w:rsidR="78899B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and other</w:t>
      </w:r>
      <w:r w:rsidRPr="4071094F" w:rsidR="4226979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</w:t>
      </w:r>
      <w:r w:rsidRPr="4071094F" w:rsidR="78899B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36E8FA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to </w:t>
      </w:r>
      <w:r w:rsidRPr="4071094F" w:rsidR="78899B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ensure the success</w:t>
      </w:r>
      <w:r w:rsidRPr="4071094F" w:rsidR="36E8FA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of the medical program</w:t>
      </w:r>
      <w:r w:rsidRPr="4071094F" w:rsidR="4214FE2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as</w:t>
      </w:r>
      <w:r w:rsidRPr="4071094F" w:rsidR="4214FE2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it was </w:t>
      </w:r>
      <w:bookmarkStart w:name="_Int_lpK1INnI" w:id="2"/>
      <w:r w:rsidRPr="4071094F" w:rsidR="4214FE2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established</w:t>
      </w:r>
      <w:bookmarkEnd w:id="2"/>
      <w:r w:rsidRPr="4071094F" w:rsidR="4214FE2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by the </w:t>
      </w:r>
      <w:r w:rsidRPr="4071094F" w:rsidR="4214FE2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legislature</w:t>
      </w:r>
      <w:r w:rsidRPr="4071094F" w:rsidR="3BA39F9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</w:t>
      </w:r>
      <w:r w:rsidRPr="4071094F" w:rsidR="6BDE7B6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We serve over 45,000</w:t>
      </w:r>
      <w:r w:rsidRPr="4071094F" w:rsidR="36E8FA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Minnesota patients </w:t>
      </w:r>
      <w:r w:rsidRPr="4071094F" w:rsidR="3710E2B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annually</w:t>
      </w:r>
      <w:r w:rsidRPr="4071094F" w:rsidR="3710E2B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providing</w:t>
      </w:r>
      <w:r w:rsidRPr="4071094F" w:rsidR="36E8FA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65B0FE6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safe and </w:t>
      </w:r>
      <w:r w:rsidRPr="4071094F" w:rsidR="36E8FA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reliable medical cannabis products through a</w:t>
      </w:r>
      <w:r w:rsidRPr="4071094F" w:rsidR="076E4FB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well-</w:t>
      </w:r>
      <w:r w:rsidRPr="4071094F" w:rsidR="36E8FA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established distribution channel. </w:t>
      </w:r>
      <w:r w:rsidRPr="4071094F" w:rsidR="076E4FB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With</w:t>
      </w:r>
      <w:r w:rsidRPr="4071094F" w:rsidR="043E910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over $45 million </w:t>
      </w:r>
      <w:r w:rsidRPr="4071094F" w:rsidR="076E4FB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invested, </w:t>
      </w:r>
      <w:r w:rsidRPr="4071094F" w:rsidR="4A1F958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we have</w:t>
      </w:r>
      <w:r w:rsidRPr="4071094F" w:rsidR="22DD1DC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built</w:t>
      </w:r>
      <w:r w:rsidRPr="4071094F" w:rsidR="043E910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and </w:t>
      </w:r>
      <w:r w:rsidRPr="4071094F" w:rsidR="22DD1DC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operationalized </w:t>
      </w:r>
      <w:r w:rsidRPr="4071094F" w:rsidR="043E910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</w:t>
      </w:r>
      <w:r w:rsidRPr="4071094F" w:rsidR="22DD1DC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solid </w:t>
      </w:r>
      <w:r w:rsidRPr="4071094F" w:rsidR="043E910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Minnesota-focused medical cannabis company</w:t>
      </w:r>
      <w:r w:rsidRPr="4071094F" w:rsidR="5B410A0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including </w:t>
      </w:r>
      <w:bookmarkStart w:name="_Int_GMNyRDP0" w:id="3"/>
      <w:r w:rsidRPr="4071094F" w:rsidR="470406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 state-of-the-art</w:t>
      </w:r>
      <w:bookmarkEnd w:id="3"/>
      <w:r w:rsidRPr="4071094F" w:rsidR="43A789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4066695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Good Manufacturing Practices (“GMP”) Certified</w:t>
      </w:r>
      <w:r w:rsidRPr="4071094F" w:rsidR="0022473C">
        <w:rPr>
          <w:rStyle w:val="FootnoteReference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footnoteReference w:id="2"/>
      </w:r>
      <w:r w:rsidRPr="4071094F" w:rsidR="4066695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production facility</w:t>
      </w:r>
      <w:r w:rsidRPr="4071094F" w:rsidR="1DA7ABF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4071094F" w:rsidR="3CD2172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and </w:t>
      </w:r>
      <w:r w:rsidRPr="4071094F" w:rsidR="1A82871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have </w:t>
      </w:r>
      <w:r w:rsidRPr="4071094F" w:rsidR="1DA7ABF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committed</w:t>
      </w:r>
      <w:r w:rsidRPr="4071094F" w:rsidR="1A82871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millions of dollars more</w:t>
      </w:r>
      <w:r w:rsidRPr="4071094F" w:rsidR="1DA7ABF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to meet the demands of medical </w:t>
      </w:r>
      <w:r w:rsidRPr="4071094F" w:rsidR="470406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and adult-use</w:t>
      </w:r>
      <w:r w:rsidRPr="4071094F" w:rsidR="10292ED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consumers</w:t>
      </w:r>
      <w:r w:rsidRPr="4071094F" w:rsidR="13C970B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</w:t>
      </w:r>
      <w:r w:rsidRPr="4071094F" w:rsidR="3094541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Our commitment to Minnesota extends to hiring over 150 Minnesotans in union-represented positions, with an expected growth to over 400 </w:t>
      </w:r>
      <w:r w:rsidRPr="4071094F" w:rsidR="55EAFA7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union-represented </w:t>
      </w:r>
      <w:r w:rsidRPr="4071094F" w:rsidR="3094541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employees when adult-use starts</w:t>
      </w:r>
      <w:r w:rsidRPr="4071094F" w:rsidR="26DE99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</w:t>
      </w:r>
    </w:p>
    <w:p w:rsidRPr="009873F1" w:rsidR="00AD0AC1" w:rsidP="4071094F" w:rsidRDefault="00660010" w14:paraId="05058325" w14:textId="5AE869BC">
      <w:pPr>
        <w:spacing w:after="2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CB1573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We appreciate the groundwork laid for launching the adult-use program, and we implore you to enact policies that are conducive to the long-term viability of a combined medical and adult-use market and participating businesses.</w:t>
      </w:r>
    </w:p>
    <w:p w:rsidRPr="009873F1" w:rsidR="00423674" w:rsidP="4071094F" w:rsidRDefault="00423674" w14:paraId="76212640" w14:textId="1F291773">
      <w:pPr>
        <w:pStyle w:val="Default"/>
        <w:numPr>
          <w:ilvl w:val="0"/>
          <w:numId w:val="3"/>
        </w:numPr>
        <w:spacing w:after="12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Unrestricted Inclusion of Existing Medical Licensees is the Norm. </w:t>
      </w:r>
    </w:p>
    <w:p w:rsidRPr="009873F1" w:rsidR="00423674" w:rsidP="4071094F" w:rsidRDefault="00423674" w14:paraId="0D3C9F60" w14:textId="6777312B">
      <w:pPr>
        <w:pStyle w:val="ListParagraph"/>
        <w:spacing w:after="220"/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All 23 states that have transitioned from medical to combined adult-use and medical programs recognize that medical-only licenses cannot survive in an adult-use market. None of these states have limited or restricted existing medical operators from full participation in 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subsequent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adult-use programs.</w:t>
      </w:r>
      <w:r w:rsidRPr="4071094F">
        <w:rPr>
          <w:rStyle w:val="FootnoteReference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footnoteReference w:id="24394"/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These states recognize that existing operators play a crucial role in launching exemplary adult-use programs. New York is the only state we are aware of that has, in its regulatory implementation (but, not its law), chosen to roll out an adult-use market without incorporating existing operators – by any objective measure, that did not go well for them. </w:t>
      </w:r>
    </w:p>
    <w:p w:rsidRPr="009873F1" w:rsidR="00423674" w:rsidP="4071094F" w:rsidRDefault="00423674" w14:paraId="5B2218FF" w14:textId="005A7294">
      <w:pPr>
        <w:pStyle w:val="ListParagraph"/>
        <w:spacing w:after="220"/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9873F1" w:rsidR="00423674" w:rsidP="4071094F" w:rsidRDefault="00423674" w14:paraId="7FC9BD95" w14:textId="5E5B8407">
      <w:pPr>
        <w:pStyle w:val="ListParagraph"/>
        <w:numPr>
          <w:ilvl w:val="1"/>
          <w:numId w:val="3"/>
        </w:numPr>
        <w:spacing w:after="1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Combating the Illicit Market and Promoting Public Health and Safety.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9873F1" w:rsidR="00423674" w:rsidP="4071094F" w:rsidRDefault="00423674" w14:paraId="44ECD8A1" w14:textId="3780DC6E">
      <w:pPr>
        <w:pStyle w:val="ListParagraph"/>
        <w:spacing w:after="220"/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Allowing existing medical operators to supply products and start adult-use on day one is essential to combat the illicit market, providing consumers with safe, regulated product options. 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 viable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regulated market needs to be available when adult-use sales are announced to reduce consumer confusion and reduce illicit sales of untested and unsafe products.</w:t>
      </w:r>
      <w:r w:rsidRPr="4071094F">
        <w:rPr>
          <w:rStyle w:val="FootnoteReference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footnoteReference w:id="1578"/>
      </w:r>
      <w:r w:rsidRPr="4071094F" w:rsidR="7322DF25">
        <w:rPr>
          <w:rStyle w:val="FootnoteReference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For example, New York’s failure to include existing medical operators to begin immediate sales resulted in a proliferation of the illicit market. Since enactment in 2021, only 70 adult-use licensed dispensaries have opened to consumers</w:t>
      </w:r>
      <w:r w:rsidRPr="4071094F">
        <w:rPr>
          <w:rStyle w:val="FootnoteReference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footnoteReference w:id="11475"/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Thousands of unlicensed cannabis dispensaries appeared across the state, with over 1,500 in New York City alone. The state was forced to add an 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additional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$16 million to its 2023-2024 budget just to combat sales by these unlicensed operations. </w:t>
      </w:r>
      <w:r w:rsidRPr="4071094F" w:rsidR="4F8773E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New York’s Governor Hochul has since been quoted as describing the state’s rollout as “a disaster</w:t>
      </w:r>
      <w:r w:rsidRPr="4071094F" w:rsidR="1A50E8E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.... you</w:t>
      </w:r>
      <w:r w:rsidRPr="4071094F" w:rsidR="4F8773E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have to go back to the very </w:t>
      </w:r>
      <w:r w:rsidRPr="4071094F" w:rsidR="4F8773E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beginning...the legislation was crafted in a way that was not poised for success</w:t>
      </w:r>
      <w:r w:rsidRPr="4071094F" w:rsidR="131EAF3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4071094F" w:rsidR="4F8773E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"</w:t>
      </w:r>
      <w:r w:rsidRPr="4071094F">
        <w:rPr>
          <w:rStyle w:val="FootnoteReference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footnoteReference w:id="18784"/>
      </w:r>
    </w:p>
    <w:p w:rsidRPr="009873F1" w:rsidR="00423674" w:rsidP="4071094F" w:rsidRDefault="00423674" w14:paraId="144C564E" w14:textId="6E7A2635">
      <w:pPr>
        <w:pStyle w:val="ListParagraph"/>
        <w:numPr>
          <w:ilvl w:val="1"/>
          <w:numId w:val="3"/>
        </w:numPr>
        <w:spacing w:after="1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Immediate Revenue to the State.</w:t>
      </w:r>
    </w:p>
    <w:p w:rsidRPr="009873F1" w:rsidR="00423674" w:rsidP="4071094F" w:rsidRDefault="00423674" w14:paraId="7F3AF529" w14:textId="419C866A">
      <w:pPr>
        <w:pStyle w:val="ListParagraph"/>
        <w:spacing w:after="220"/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25799E3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tates with successful adult-use programs, including Illinois, New Jersey, Connecticut, Massachusetts, Maryland, and </w:t>
      </w:r>
      <w:r w:rsidRPr="4071094F" w:rsidR="530C9C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now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Ohio, allowed for medical licensees to convert to adult-use through a simple application to jump start cannabis operations and state programing from day one. Allowing existing medical operators to sell adult-use on day one provides immediate tax revenue to the state. 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Specifically, 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Illinois received over $216 million in state tax revenues in its first year of legalization and New Jersey received over $20 million in state tax revenues. Colorado 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- a state with 30% of New York’s population- generated approximately $70 million in tax revenue</w:t>
      </w:r>
      <w:r w:rsidRPr="4071094F" w:rsidR="1274C93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, while New York </w:t>
      </w:r>
      <w:r w:rsidRPr="4071094F" w:rsidR="138BBF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took over 2.5 years to </w:t>
      </w:r>
      <w:r w:rsidRPr="4071094F" w:rsidR="074F1B3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pull in approx. $13 million in </w:t>
      </w:r>
      <w:r w:rsidRPr="4071094F" w:rsidR="074F1B3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tax revenue </w:t>
      </w:r>
      <w:r w:rsidRPr="4071094F" w:rsidR="138BBF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from adult-use sales</w:t>
      </w:r>
      <w:r w:rsidRPr="4071094F" w:rsidR="66F42A7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in September 2022</w:t>
      </w:r>
      <w:r w:rsidRPr="4071094F" w:rsidR="138BBF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4071094F">
        <w:rPr>
          <w:rStyle w:val="FootnoteReference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footnoteReference w:id="27959"/>
      </w:r>
      <w:r w:rsidRPr="4071094F" w:rsidR="138BBF0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4071094F" w:rsidR="1274C93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4071094F" w:rsidR="1274C93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New York was predicted to have an adult-use cannabis market </w:t>
      </w:r>
      <w:r w:rsidRPr="4071094F" w:rsidR="1274C93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 excess of</w:t>
      </w:r>
      <w:r w:rsidRPr="4071094F" w:rsidR="1274C93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1274C93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$2.5 billion</w:t>
      </w:r>
      <w:r w:rsidRPr="4071094F" w:rsidR="1274C93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by its fifth year.</w:t>
      </w:r>
      <w:r w:rsidRPr="4071094F">
        <w:rPr>
          <w:rStyle w:val="FootnoteReference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footnoteReference w:id="6465"/>
      </w:r>
      <w:r w:rsidRPr="4071094F" w:rsidR="1274C93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Almost </w:t>
      </w:r>
      <w:r w:rsidRPr="4071094F" w:rsidR="1274C93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four years after New York legalized adult-use cannabis, the state only reported $150 million in adult-use </w:t>
      </w:r>
      <w:r w:rsidRPr="4071094F" w:rsidR="1274C93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cannabis sales across 2023.</w:t>
      </w:r>
      <w:r w:rsidRPr="4071094F">
        <w:rPr>
          <w:rStyle w:val="FootnoteReference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footnoteReference w:id="12906"/>
      </w:r>
    </w:p>
    <w:p w:rsidRPr="009873F1" w:rsidR="00423674" w:rsidP="4071094F" w:rsidRDefault="00423674" w14:paraId="7D1B76FB" w14:textId="5F18B9D6">
      <w:pPr>
        <w:pStyle w:val="ListParagraph"/>
        <w:numPr>
          <w:ilvl w:val="1"/>
          <w:numId w:val="3"/>
        </w:numPr>
        <w:spacing w:after="1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Medical Patients Will Remain a Priority. </w:t>
      </w:r>
    </w:p>
    <w:p w:rsidRPr="009873F1" w:rsidR="00423674" w:rsidP="4071094F" w:rsidRDefault="00423674" w14:paraId="0105A3C6" w14:textId="0728187F">
      <w:pPr>
        <w:pStyle w:val="ListParagraph"/>
        <w:spacing w:after="120"/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Conversion of existing operators to adult-use from an existing medical program is the best way to meet the expectations of Minnesotans on day one and provide a seamless experience to patients and consumers. </w:t>
      </w:r>
      <w:r w:rsidRPr="4071094F" w:rsidR="605EB5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Further, allowing medical retailers to deliver to their own patients will reduce delays, mishandling, and loss of quality products</w:t>
      </w:r>
      <w:r w:rsidRPr="4071094F" w:rsidR="3E4232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4071094F" w:rsidR="3E4232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adding</w:t>
      </w:r>
      <w:r w:rsidRPr="4071094F" w:rsidR="3E4232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to the patient experience</w:t>
      </w:r>
      <w:r w:rsidRPr="4071094F" w:rsidR="605EB5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GTI has 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 track record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of successfully prioritizing patients in adult-use rollout. Examples include: </w:t>
      </w:r>
    </w:p>
    <w:p w:rsidRPr="009873F1" w:rsidR="00423674" w:rsidP="4071094F" w:rsidRDefault="00423674" w14:paraId="2AABE158" w14:textId="2A0E6089">
      <w:pPr>
        <w:pStyle w:val="ListParagraph"/>
        <w:numPr>
          <w:ilvl w:val="2"/>
          <w:numId w:val="3"/>
        </w:numPr>
        <w:spacing w:after="1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higher dosed products reserved for medical patients</w:t>
      </w:r>
    </w:p>
    <w:p w:rsidRPr="009873F1" w:rsidR="00423674" w:rsidP="4071094F" w:rsidRDefault="00423674" w14:paraId="786C94D9" w14:textId="77777777">
      <w:pPr>
        <w:pStyle w:val="ListParagraph"/>
        <w:numPr>
          <w:ilvl w:val="2"/>
          <w:numId w:val="3"/>
        </w:numPr>
        <w:spacing w:after="1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increased purchase limits for medical patients</w:t>
      </w:r>
    </w:p>
    <w:p w:rsidRPr="009873F1" w:rsidR="00423674" w:rsidP="4071094F" w:rsidRDefault="00423674" w14:paraId="42877213" w14:textId="68BAABA1">
      <w:pPr>
        <w:pStyle w:val="ListParagraph"/>
        <w:numPr>
          <w:ilvl w:val="2"/>
          <w:numId w:val="3"/>
        </w:numPr>
        <w:spacing w:after="1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medical patient “fast lanes” (curbside and/or in-store</w:t>
      </w:r>
      <w:r w:rsidRPr="4071094F" w:rsidR="2190AF4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and delivery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)</w:t>
      </w:r>
    </w:p>
    <w:p w:rsidRPr="009873F1" w:rsidR="00423674" w:rsidP="4071094F" w:rsidRDefault="00423674" w14:paraId="210440A4" w14:textId="3E07CAE2">
      <w:pPr>
        <w:pStyle w:val="ListParagraph"/>
        <w:numPr>
          <w:ilvl w:val="2"/>
          <w:numId w:val="3"/>
        </w:numPr>
        <w:spacing w:after="1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medical cannabis supply preservation requirements for operators</w:t>
      </w:r>
      <w:r w:rsidRPr="4071094F" w:rsidR="7322DF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</w:p>
    <w:p w:rsidRPr="009873F1" w:rsidR="00423674" w:rsidP="4071094F" w:rsidRDefault="00423674" w14:paraId="3C9017B6" w14:textId="50BF6D6F">
      <w:pPr>
        <w:pStyle w:val="ListParagraph"/>
        <w:spacing w:after="120"/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9873F1" w:rsidR="00423674" w:rsidP="4071094F" w:rsidRDefault="00423674" w14:paraId="407AC18E" w14:textId="70652E06">
      <w:pPr>
        <w:pStyle w:val="Default"/>
        <w:numPr>
          <w:ilvl w:val="0"/>
          <w:numId w:val="3"/>
        </w:numPr>
        <w:spacing w:after="12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</w:pPr>
      <w:r w:rsidRPr="4071094F" w:rsidR="3E459E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A</w:t>
      </w:r>
      <w:r w:rsidRPr="4071094F" w:rsidR="248E4F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 w:rsidRPr="4071094F" w:rsidR="3E459E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Single Supply Chain Benefits </w:t>
      </w:r>
      <w:r w:rsidRPr="4071094F" w:rsidR="14E9CD7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A</w:t>
      </w:r>
      <w:r w:rsidRPr="4071094F" w:rsidR="3E459E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ll Cannabis Industry Participants and Consumers</w:t>
      </w:r>
      <w:r w:rsidRPr="4071094F" w:rsidR="1D2CE6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.</w:t>
      </w:r>
    </w:p>
    <w:p w:rsidRPr="009873F1" w:rsidR="002F1B9E" w:rsidP="4071094F" w:rsidRDefault="002F1B9E" w14:paraId="6A6B072D" w14:textId="6F1EBC0B">
      <w:pPr>
        <w:pStyle w:val="Default"/>
        <w:spacing w:after="220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4071094F" w:rsidR="64C0E1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As we advocate for legislative improvements, it is clear </w:t>
      </w:r>
      <w:r w:rsidRPr="4071094F" w:rsidR="64C0E1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the</w:t>
      </w:r>
      <w:r w:rsidRPr="4071094F" w:rsidR="64C0E1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establishment of a single supply chain is necessary for: streamlining operations, supporting the success of new licenses, and improving accessibility and quality within the cannabis market.</w:t>
      </w:r>
      <w:r w:rsidRPr="4071094F" w:rsidR="64C0E1E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Current law creates inefficiencies in Minnesota’s </w:t>
      </w:r>
      <w:r w:rsidRPr="4071094F" w:rsidR="10F2314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nascent 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cannabis marketplace by distinguishing medical cannabis </w:t>
      </w:r>
      <w:r w:rsidRPr="4071094F" w:rsidR="248E4FF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plants 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from </w:t>
      </w:r>
      <w:r w:rsidRPr="4071094F" w:rsidR="248E4FF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adult-use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at cultivation, setting up a dual supply chain market. </w:t>
      </w:r>
      <w:r w:rsidRPr="4071094F" w:rsidR="1E4E795C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This can be corrected by passing legislation that 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(1) recognizes the </w:t>
      </w:r>
      <w:r w:rsidRPr="4071094F" w:rsidR="175AE2C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substantial similarity between 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medical and adult</w:t>
      </w:r>
      <w:r w:rsidRPr="4071094F" w:rsidR="175AE2C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-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use cannabis products</w:t>
      </w:r>
      <w:r w:rsidRPr="4071094F" w:rsidR="175AE2C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,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and (2) </w:t>
      </w:r>
      <w:r w:rsidRPr="4071094F" w:rsidR="41D8A00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clarifies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that no distinction</w:t>
      </w:r>
      <w:r w:rsidRPr="4071094F" w:rsidR="10F2314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should exist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between medical and </w:t>
      </w:r>
      <w:r w:rsidRPr="4071094F" w:rsidR="248E4FF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adult-use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products until the point of purchase by a patient or consumer. </w:t>
      </w:r>
    </w:p>
    <w:p w:rsidRPr="009873F1" w:rsidR="002F1B9E" w:rsidP="4071094F" w:rsidRDefault="00137EEC" w14:paraId="26FF2AAE" w14:textId="49287FA9">
      <w:pPr>
        <w:pStyle w:val="Default"/>
        <w:numPr>
          <w:ilvl w:val="1"/>
          <w:numId w:val="3"/>
        </w:numPr>
        <w:spacing w:after="1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</w:pPr>
      <w:r w:rsidRPr="4071094F" w:rsidR="44516A8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Critical for the Viability and Growth of a Nascent Market</w:t>
      </w:r>
      <w:r w:rsidRPr="4071094F" w:rsidR="6F4292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. </w:t>
      </w:r>
    </w:p>
    <w:p w:rsidRPr="009873F1" w:rsidR="00A13ED5" w:rsidP="4071094F" w:rsidRDefault="00995A76" w14:paraId="7EE07A48" w14:textId="0709308B">
      <w:pPr>
        <w:pStyle w:val="Default"/>
        <w:spacing w:after="220"/>
        <w:ind w:left="720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4071094F" w:rsidR="296A286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As a</w:t>
      </w:r>
      <w:r w:rsidRPr="4071094F" w:rsidR="30B5DAB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4071094F" w:rsidR="5983CFE8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proven, well-regulated </w:t>
      </w:r>
      <w:r w:rsidRPr="4071094F" w:rsidR="30B5DAB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operator</w:t>
      </w:r>
      <w:r w:rsidRPr="4071094F" w:rsidR="5983CFE8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with </w:t>
      </w:r>
      <w:r w:rsidRPr="4071094F" w:rsidR="0B58042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 record</w:t>
      </w:r>
      <w:r w:rsidRPr="4071094F" w:rsidR="1518B2E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of</w:t>
      </w:r>
      <w:r w:rsidRPr="4071094F" w:rsidR="5983CFE8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following state laws and regulations on security, diversion, and the development of safe, consistent products</w:t>
      </w:r>
      <w:r w:rsidRPr="4071094F" w:rsidR="360A00E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, we have the experience and </w:t>
      </w:r>
      <w:bookmarkStart w:name="_Int_qFziV08W" w:id="6"/>
      <w:r w:rsidRPr="4071094F" w:rsidR="360A00E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capacity</w:t>
      </w:r>
      <w:bookmarkEnd w:id="6"/>
      <w:r w:rsidRPr="4071094F" w:rsidR="360A00E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to provide much needed inventory to new dispensaries at the start of </w:t>
      </w:r>
      <w:r w:rsidRPr="4071094F" w:rsidR="248E4FF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adult-use</w:t>
      </w:r>
      <w:r w:rsidRPr="4071094F" w:rsidR="360A00E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, </w:t>
      </w:r>
      <w:r w:rsidRPr="4071094F" w:rsidR="26C1241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enabling </w:t>
      </w:r>
      <w:r w:rsidRPr="4071094F" w:rsidR="5983CFE8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them </w:t>
      </w:r>
      <w:r w:rsidRPr="4071094F" w:rsidR="6DCC3BF9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to </w:t>
      </w:r>
      <w:bookmarkStart w:name="_Int_WXHHOC09" w:id="7"/>
      <w:r w:rsidRPr="4071094F" w:rsidR="6DCC3BF9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establish</w:t>
      </w:r>
      <w:bookmarkEnd w:id="7"/>
      <w:r w:rsidRPr="4071094F" w:rsidR="5983CFE8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successful businesses. However, </w:t>
      </w:r>
      <w:r w:rsidRPr="4071094F" w:rsidR="2AFC0A7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the current law</w:t>
      </w:r>
      <w:r w:rsidRPr="4071094F" w:rsidR="72B1473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’s inefficiencies </w:t>
      </w:r>
      <w:r w:rsidRPr="4071094F" w:rsidR="6DCC3BF9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create </w:t>
      </w:r>
      <w:r w:rsidRPr="4071094F" w:rsidR="72B1473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significant barrier</w:t>
      </w:r>
      <w:r w:rsidRPr="4071094F" w:rsidR="114CDFD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s</w:t>
      </w:r>
      <w:r w:rsidRPr="4071094F" w:rsidR="72B1473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4071094F" w:rsidR="114CDFD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to </w:t>
      </w:r>
      <w:r w:rsidRPr="4071094F" w:rsidR="2E7E81C6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providing</w:t>
      </w:r>
      <w:r w:rsidRPr="4071094F" w:rsidR="60AB32F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readily available </w:t>
      </w:r>
      <w:r w:rsidRPr="4071094F" w:rsidR="620B5F7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products</w:t>
      </w:r>
      <w:r w:rsidRPr="4071094F" w:rsidR="114CDFD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, as</w:t>
      </w:r>
      <w:r w:rsidRPr="4071094F" w:rsidR="0050020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bookmarkStart w:name="_Int_26HO4oHs" w:id="8"/>
      <w:r w:rsidRPr="4071094F" w:rsidR="40096A16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buying</w:t>
      </w:r>
      <w:bookmarkEnd w:id="8"/>
      <w:r w:rsidRPr="4071094F" w:rsidR="0050020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and </w:t>
      </w:r>
      <w:r w:rsidRPr="4071094F" w:rsidR="229ED34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selling specific product inventories will be restricted to </w:t>
      </w:r>
      <w:r w:rsidRPr="4071094F" w:rsidR="6BD64CB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only </w:t>
      </w:r>
      <w:r w:rsidRPr="4071094F" w:rsidR="4D5871C8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adult</w:t>
      </w:r>
      <w:r w:rsidRPr="4071094F" w:rsidR="09C4F476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-</w:t>
      </w:r>
      <w:r w:rsidRPr="4071094F" w:rsidR="4D5871C8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use or </w:t>
      </w:r>
      <w:r w:rsidRPr="4071094F" w:rsidR="6BD64CB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only </w:t>
      </w:r>
      <w:r w:rsidRPr="4071094F" w:rsidR="4D5871C8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medical</w:t>
      </w:r>
      <w:r w:rsidRPr="4071094F" w:rsidR="7CCB1CD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cannabis markets</w:t>
      </w:r>
      <w:r w:rsidRPr="4071094F" w:rsidR="4019BD8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.</w:t>
      </w:r>
      <w:r w:rsidRPr="4071094F" w:rsidR="55167AF8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4071094F" w:rsidR="75792602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This </w:t>
      </w:r>
      <w:r w:rsidRPr="4071094F" w:rsidR="114CDFD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restriction </w:t>
      </w:r>
      <w:r w:rsidRPr="4071094F" w:rsidR="75792602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hampers the growth </w:t>
      </w:r>
      <w:r w:rsidRPr="4071094F" w:rsidR="75792602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potential of new businesses </w:t>
      </w:r>
      <w:r w:rsidRPr="4071094F" w:rsidR="4A5E1C7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and</w:t>
      </w:r>
      <w:r w:rsidRPr="4071094F" w:rsidR="75792602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undermine</w:t>
      </w:r>
      <w:r w:rsidRPr="4071094F" w:rsidR="735B99B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s</w:t>
      </w:r>
      <w:r w:rsidRPr="4071094F" w:rsidR="75792602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the </w:t>
      </w:r>
      <w:r w:rsidRPr="4071094F" w:rsidR="2A31C69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efficiency of the </w:t>
      </w:r>
      <w:r w:rsidRPr="4071094F" w:rsidR="735B99B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emerging </w:t>
      </w:r>
      <w:r w:rsidRPr="4071094F" w:rsidR="2A31C69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cannabis market. </w:t>
      </w:r>
    </w:p>
    <w:p w:rsidRPr="009873F1" w:rsidR="00755661" w:rsidP="4071094F" w:rsidRDefault="00446F9F" w14:paraId="1F6E930F" w14:textId="3FA6CC90">
      <w:pPr>
        <w:pStyle w:val="Default"/>
        <w:spacing w:after="220"/>
        <w:ind w:left="720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4071094F" w:rsidR="2A31C69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E</w:t>
      </w:r>
      <w:r w:rsidRPr="4071094F" w:rsidR="7B24145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nforcing a system of separate </w:t>
      </w:r>
      <w:r w:rsidRPr="4071094F" w:rsidR="248E4FF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adult-use</w:t>
      </w:r>
      <w:r w:rsidRPr="4071094F" w:rsidR="7B24145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and medical cannabis plants at cultivation is likely to lead to oversupply in the medical </w:t>
      </w:r>
      <w:r w:rsidRPr="4071094F" w:rsidR="4470862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market </w:t>
      </w:r>
      <w:r w:rsidRPr="4071094F" w:rsidR="7B24145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and shortages in the </w:t>
      </w:r>
      <w:r w:rsidRPr="4071094F" w:rsidR="248E4FF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adult-use</w:t>
      </w:r>
      <w:r w:rsidRPr="4071094F" w:rsidR="7B24145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4071094F" w:rsidR="4470862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market</w:t>
      </w:r>
      <w:r w:rsidRPr="4071094F" w:rsidR="6D1DA9E2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. </w:t>
      </w:r>
      <w:r w:rsidRPr="4071094F" w:rsidR="7B24145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</w:t>
      </w:r>
      <w:r w:rsidRPr="4071094F" w:rsidR="72D0332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lack of flexibility to direct cannabis product to </w:t>
      </w:r>
      <w:r w:rsidRPr="4071094F" w:rsidR="3852042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the cannabis</w:t>
      </w:r>
      <w:r w:rsidRPr="4071094F" w:rsidR="72D0332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markets as demand dictates will have a lasting ripple effect </w:t>
      </w:r>
      <w:r w:rsidRPr="4071094F" w:rsidR="72F2F71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on all licensees</w:t>
      </w:r>
      <w:r w:rsidRPr="4071094F" w:rsidR="72D0332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and </w:t>
      </w:r>
      <w:r w:rsidRPr="4071094F" w:rsidR="5E74569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will </w:t>
      </w:r>
      <w:r w:rsidRPr="4071094F" w:rsidR="3852042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jeopardize the viability of operators </w:t>
      </w:r>
      <w:r w:rsidRPr="4071094F" w:rsidR="72D0332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just as </w:t>
      </w:r>
      <w:r w:rsidRPr="4071094F" w:rsidR="49F1A269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the cannabis market</w:t>
      </w:r>
      <w:r w:rsidRPr="4071094F" w:rsidR="72D0332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is getting off the ground.</w:t>
      </w:r>
      <w:r w:rsidRPr="4071094F" w:rsidR="3187555C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</w:p>
    <w:p w:rsidRPr="009873F1" w:rsidR="008E6DF8" w:rsidP="4071094F" w:rsidRDefault="00B90D4C" w14:paraId="09203332" w14:textId="1FAEA7E8">
      <w:pPr>
        <w:pStyle w:val="Default"/>
        <w:numPr>
          <w:ilvl w:val="1"/>
          <w:numId w:val="3"/>
        </w:numPr>
        <w:spacing w:after="1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</w:pPr>
      <w:r w:rsidRPr="4071094F" w:rsidR="1D2CE6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Provides Stability to Changing Medical Markets After Adult-Use Launches</w:t>
      </w:r>
      <w:r w:rsidRPr="4071094F" w:rsidR="5A021D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. </w:t>
      </w:r>
    </w:p>
    <w:p w:rsidRPr="009873F1" w:rsidR="001E0D29" w:rsidP="4071094F" w:rsidRDefault="00881BDC" w14:paraId="06623085" w14:textId="697C34A4">
      <w:pPr>
        <w:spacing w:after="220"/>
        <w:ind w:left="7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4BB025B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 have </w:t>
      </w:r>
      <w:r w:rsidRPr="4071094F" w:rsidR="60A1DA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seen 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first-hand how medical markets decline after adult</w:t>
      </w:r>
      <w:r w:rsidRPr="4071094F" w:rsidR="698F890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-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use is implemented. Mandating a dual supply chain where licensees are forced to </w:t>
      </w:r>
      <w:bookmarkStart w:name="_Int_F80AZexr" w:id="9"/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operate</w:t>
      </w:r>
      <w:bookmarkEnd w:id="9"/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their business in a shrinking market will</w:t>
      </w:r>
      <w:r w:rsidRPr="4071094F" w:rsidR="5D382DA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0304969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inhibit </w:t>
      </w:r>
      <w:r w:rsidRPr="4071094F" w:rsidR="4AE9214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the</w:t>
      </w:r>
      <w:r w:rsidRPr="4071094F" w:rsidR="5D382DA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viability </w:t>
      </w:r>
      <w:r w:rsidRPr="4071094F" w:rsidR="4AE9214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of</w:t>
      </w:r>
      <w:r w:rsidRPr="4071094F" w:rsidR="747EE7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7EFB670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those </w:t>
      </w:r>
      <w:r w:rsidRPr="4071094F" w:rsidR="20EEF56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operators</w:t>
      </w:r>
      <w:r w:rsidRPr="4071094F" w:rsidR="5FAEAA4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4071094F" w:rsidR="3D46225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5EF2A29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Specifically</w:t>
      </w:r>
      <w:r w:rsidRPr="4071094F" w:rsidR="3C5259B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this i</w:t>
      </w:r>
      <w:r w:rsidRPr="4071094F" w:rsidR="4D10ED0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nefficiency</w:t>
      </w:r>
      <w:r w:rsidRPr="4071094F" w:rsidR="7FED82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ties our </w:t>
      </w:r>
      <w:r w:rsidRPr="4071094F" w:rsidR="0233324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future operations </w:t>
      </w:r>
      <w:r w:rsidRPr="4071094F" w:rsidR="7FED82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to the </w:t>
      </w:r>
      <w:r w:rsidRPr="4071094F" w:rsidR="03FE065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medical program’s growth,</w:t>
      </w:r>
      <w:r w:rsidRPr="4071094F" w:rsidR="0233324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leading to</w:t>
      </w:r>
      <w:r w:rsidRPr="4071094F" w:rsidR="659BF99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12F8895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limited invested growth and 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scale</w:t>
      </w:r>
      <w:r w:rsidRPr="4071094F" w:rsidR="659BF99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</w:t>
      </w:r>
      <w:r w:rsidRPr="4071094F" w:rsidR="03FE065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-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down </w:t>
      </w:r>
      <w:r w:rsidRPr="4071094F" w:rsidR="12F8895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operations, and</w:t>
      </w:r>
      <w:r w:rsidRPr="4071094F" w:rsidR="4D10ED0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45D2A47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eventually</w:t>
      </w:r>
      <w:r w:rsidRPr="4071094F" w:rsidR="4D10ED0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0D4BA4B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making</w:t>
      </w:r>
      <w:r w:rsidRPr="4071094F" w:rsidR="1874DF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0832D4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continued </w:t>
      </w:r>
      <w:r w:rsidRPr="4071094F" w:rsidR="0AD04B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operations financially </w:t>
      </w:r>
      <w:r w:rsidRPr="4071094F" w:rsidR="1874DF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unviable</w:t>
      </w:r>
      <w:r w:rsidRPr="4071094F" w:rsidR="0AD04B2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</w:t>
      </w:r>
      <w:r w:rsidRPr="4071094F" w:rsidR="0B1191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This will be a direct blow to </w:t>
      </w:r>
      <w:r w:rsidRPr="4071094F" w:rsidR="47DD31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the </w:t>
      </w:r>
      <w:r w:rsidRPr="4071094F" w:rsidR="2D7CCFE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forty</w:t>
      </w:r>
      <w:r w:rsidRPr="4071094F" w:rsidR="3D91D04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thousand plus Minnesota </w:t>
      </w:r>
      <w:r w:rsidRPr="4071094F" w:rsidR="0B1191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patients</w:t>
      </w:r>
      <w:r w:rsidRPr="4071094F" w:rsidR="12F8895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4071094F" w:rsidR="47DD31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jeopardizing their access to</w:t>
      </w:r>
      <w:r w:rsidRPr="4071094F" w:rsidR="40FB2B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lab-tested, consistent, high-quality medicine </w:t>
      </w:r>
      <w:r w:rsidRPr="4071094F" w:rsidR="47DD31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they</w:t>
      </w:r>
      <w:r w:rsidRPr="4071094F" w:rsidR="40FB2B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have relied on for years. </w:t>
      </w:r>
      <w:r w:rsidRPr="4071094F" w:rsidR="3D91D04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Additionally, this u</w:t>
      </w:r>
      <w:r w:rsidRPr="4071094F" w:rsidR="40FB2B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ncertainty </w:t>
      </w:r>
      <w:r w:rsidRPr="4071094F" w:rsidR="3D91D04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affects</w:t>
      </w:r>
      <w:r w:rsidRPr="4071094F" w:rsidR="40FB2B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the job security of our employees</w:t>
      </w:r>
      <w:r w:rsidRPr="4071094F" w:rsidR="13B3A77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071094F" w:rsidR="0B1191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and their families</w:t>
      </w:r>
      <w:r w:rsidRPr="4071094F" w:rsidR="5FAEAA4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many of whom rely on their cannabis careers for their </w:t>
      </w:r>
      <w:r w:rsidRPr="4071094F" w:rsidR="2D7CCFE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livelihoods.</w:t>
      </w:r>
      <w:r w:rsidRPr="4071094F" w:rsidR="0B1191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9873F1" w:rsidR="00997FAD" w:rsidP="4071094F" w:rsidRDefault="00B90C77" w14:paraId="31A4CFC3" w14:textId="60CD523D">
      <w:pPr>
        <w:pStyle w:val="Default"/>
        <w:spacing w:after="220"/>
        <w:ind w:left="720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4071094F" w:rsidR="4D38F540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In contrast, a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single supply chain </w:t>
      </w:r>
      <w:r w:rsidRPr="4071094F" w:rsidR="3619B30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model </w:t>
      </w:r>
      <w:r w:rsidRPr="4071094F" w:rsidR="3619B30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 xml:space="preserve">is crucial for </w:t>
      </w:r>
      <w:r w:rsidRPr="4071094F" w:rsidR="0BB4A08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>supporting</w:t>
      </w:r>
      <w:r w:rsidRPr="4071094F" w:rsidR="3619B30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 xml:space="preserve"> job growth, ensuring </w:t>
      </w:r>
      <w:bookmarkStart w:name="_Int_BEgkRcxu" w:id="10"/>
      <w:r w:rsidRPr="4071094F" w:rsidR="0BB4A08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>maximum</w:t>
      </w:r>
      <w:bookmarkEnd w:id="10"/>
      <w:r w:rsidRPr="4071094F" w:rsidR="0BB4A08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 xml:space="preserve"> </w:t>
      </w:r>
      <w:r w:rsidRPr="4071094F" w:rsidR="3619B30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 xml:space="preserve">product availability for both medical patients and adult-use consumers, and </w:t>
      </w:r>
      <w:r w:rsidRPr="4071094F" w:rsidR="2F0FFD7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increasing</w:t>
      </w:r>
      <w:r w:rsidRPr="4071094F" w:rsidR="0BB4A08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wholesale product availability for newly opening dispensaries</w:t>
      </w:r>
      <w:r w:rsidRPr="4071094F" w:rsidR="3619B30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>. By enabling seamless access to cannabis products</w:t>
      </w:r>
      <w:r w:rsidRPr="4071094F" w:rsidR="2F0FFD7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 xml:space="preserve"> across medical and adult-use</w:t>
      </w:r>
      <w:r w:rsidRPr="4071094F" w:rsidR="3619B30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 xml:space="preserve">, a unified supply chain </w:t>
      </w:r>
      <w:bookmarkStart w:name="_Int_Ujs0MEtu" w:id="11"/>
      <w:r w:rsidRPr="4071094F" w:rsidR="3619B30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>facilitates</w:t>
      </w:r>
      <w:bookmarkEnd w:id="11"/>
      <w:r w:rsidRPr="4071094F" w:rsidR="3619B30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 xml:space="preserve"> operational stability and supports the sustainable growth </w:t>
      </w:r>
      <w:r w:rsidRPr="4071094F" w:rsidR="0072233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 xml:space="preserve">and long term-viability </w:t>
      </w:r>
      <w:r w:rsidRPr="4071094F" w:rsidR="3619B30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 xml:space="preserve">of the </w:t>
      </w:r>
      <w:r w:rsidRPr="4071094F" w:rsidR="2D7CCFE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>industry</w:t>
      </w:r>
      <w:r w:rsidRPr="4071094F" w:rsidR="3619B30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>.</w:t>
      </w:r>
      <w:r w:rsidRPr="4071094F" w:rsidR="3619B30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</w:p>
    <w:p w:rsidRPr="009873F1" w:rsidR="002F1B9E" w:rsidP="4071094F" w:rsidRDefault="00C15FAE" w14:paraId="5E8E4338" w14:textId="1C9AE6B7">
      <w:pPr>
        <w:pStyle w:val="Default"/>
        <w:numPr>
          <w:ilvl w:val="1"/>
          <w:numId w:val="3"/>
        </w:numPr>
        <w:spacing w:after="1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</w:pPr>
      <w:r w:rsidRPr="4071094F" w:rsidR="248E4F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A</w:t>
      </w:r>
      <w:r w:rsidRPr="4071094F" w:rsidR="5BB01C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National Standard</w:t>
      </w:r>
      <w:r w:rsidRPr="4071094F" w:rsidR="5BB01C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.</w:t>
      </w:r>
    </w:p>
    <w:p w:rsidRPr="009873F1" w:rsidR="002F1B9E" w:rsidP="4071094F" w:rsidRDefault="002F1B9E" w14:paraId="5E7057FB" w14:textId="47499B4B">
      <w:pPr>
        <w:pStyle w:val="Default"/>
        <w:suppressLineNumbers w:val="0"/>
        <w:bidi w:val="0"/>
        <w:spacing w:before="0" w:beforeAutospacing="off" w:after="220" w:afterAutospacing="off" w:line="259" w:lineRule="auto"/>
        <w:ind w:left="720"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Our research has shown that </w:t>
      </w:r>
      <w:r w:rsidRPr="4071094F" w:rsidR="5EF2A29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most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operating </w:t>
      </w:r>
      <w:r w:rsidRPr="4071094F" w:rsidR="248E4FF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adult-use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and medical cannabis combination programs provide for a single supply chain or </w:t>
      </w:r>
      <w:r w:rsidRPr="4071094F" w:rsidR="0BD8C84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allow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product flow </w:t>
      </w:r>
      <w:r w:rsidRPr="4071094F" w:rsidR="3B6D6142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between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medical and </w:t>
      </w:r>
      <w:r w:rsidRPr="4071094F" w:rsidR="248E4FF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adult-use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inventories as needed</w:t>
      </w:r>
      <w:r w:rsidRPr="4071094F" w:rsidR="3B6D6142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(other than product lines specifically reserved for medical patients)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.</w:t>
      </w:r>
      <w:r w:rsidRPr="4071094F" w:rsidR="5EF2A29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These states include Alaska, Arizona, California, Connecticut*, Illinois, Massachusetts Maryland, Missouri, Montana, Michigan*, Nevada*, New Jersey, New Mexico*, New York, Oregon, Rhode Island, </w:t>
      </w:r>
      <w:bookmarkStart w:name="_Int_sCvLVb69" w:id="12"/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Vermont</w:t>
      </w:r>
      <w:bookmarkEnd w:id="12"/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and Washington.</w:t>
      </w:r>
      <w:r w:rsidRPr="4071094F">
        <w:rPr>
          <w:rStyle w:val="FootnoteReference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footnoteReference w:id="3"/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 Notably, the most recent states to begin </w:t>
      </w:r>
      <w:r w:rsidRPr="4071094F" w:rsidR="248E4FF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adult-use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sales, Connecticut, Maryland, New Jersey</w:t>
      </w:r>
      <w:r w:rsidRPr="4071094F" w:rsidR="73554A19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, 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New York</w:t>
      </w:r>
      <w:r w:rsidRPr="4071094F" w:rsidR="5EF2A29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,</w:t>
      </w:r>
      <w:r w:rsidRPr="4071094F" w:rsidR="17B0015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4071094F" w:rsidR="73554A19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and</w:t>
      </w:r>
      <w:r w:rsidRPr="4071094F" w:rsidR="17B0015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4071094F" w:rsidR="3D1A3A38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now</w:t>
      </w:r>
      <w:r w:rsidRPr="4071094F" w:rsidR="17B0015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, Ohio</w:t>
      </w:r>
      <w:r w:rsidRPr="4071094F" w:rsidR="0F77640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, have all adopted some version of this single supply chain model</w:t>
      </w:r>
      <w:r w:rsidRPr="4071094F" w:rsidR="7511F89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. </w:t>
      </w:r>
    </w:p>
    <w:p w:rsidRPr="009873F1" w:rsidR="00AD0AC1" w:rsidP="4071094F" w:rsidRDefault="00AD0AC1" w14:paraId="01C1C390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* * *</w:t>
      </w:r>
    </w:p>
    <w:p w:rsidRPr="009873F1" w:rsidR="00AD0AC1" w:rsidP="4071094F" w:rsidRDefault="00AD0AC1" w14:paraId="01781547" w14:textId="7C812E50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Thank you for allowing us to address </w:t>
      </w:r>
      <w:r w:rsidRPr="4071094F" w:rsidR="569B84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these</w:t>
      </w:r>
      <w:r w:rsidRPr="4071094F" w:rsidR="54FE6E4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critical </w:t>
      </w:r>
      <w:r w:rsidRPr="4071094F" w:rsidR="569B84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issues</w:t>
      </w: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We hope that an engaged dialogue will lead to an industry-leading </w:t>
      </w:r>
      <w:r w:rsidRPr="4071094F" w:rsidR="02D11E7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and sustainable </w:t>
      </w:r>
      <w:r w:rsidRPr="4071094F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adult-use program. </w:t>
      </w:r>
    </w:p>
    <w:p w:rsidRPr="009873F1" w:rsidR="00CF2923" w:rsidP="4071094F" w:rsidRDefault="00AD0AC1" w14:paraId="7CAFE57B" w14:textId="674333C6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>
        <w:br/>
      </w:r>
      <w:r w:rsidRPr="4071094F" w:rsidR="768593B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Best Regards, </w:t>
      </w:r>
    </w:p>
    <w:p w:rsidRPr="009873F1" w:rsidR="00CF2923" w:rsidP="4071094F" w:rsidRDefault="00CF2923" w14:paraId="33541B2F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5CEC8AB9" w:rsidP="5FDE966D" w:rsidRDefault="5CEC8AB9" w14:paraId="3DAEE4CB" w14:textId="655B3421">
      <w:pPr>
        <w:shd w:val="clear" w:color="auto" w:fill="FFFFFF" w:themeFill="background1"/>
        <w:spacing w:before="0" w:beforeAutospacing="off" w:after="0" w:afterAutospacing="off"/>
      </w:pPr>
      <w:r w:rsidRPr="5FDE966D" w:rsidR="5CEC8AB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9562C"/>
          <w:sz w:val="22"/>
          <w:szCs w:val="22"/>
          <w:lang w:val="en-US"/>
        </w:rPr>
        <w:t>Tiffany Newbern-Johnson</w:t>
      </w:r>
    </w:p>
    <w:p w:rsidR="5CEC8AB9" w:rsidP="5FDE966D" w:rsidRDefault="5CEC8AB9" w14:paraId="372F7E49" w14:textId="2E8E0DEA">
      <w:pPr>
        <w:shd w:val="clear" w:color="auto" w:fill="FFFFFF" w:themeFill="background1"/>
        <w:spacing w:before="0" w:beforeAutospacing="off" w:after="0" w:afterAutospacing="off"/>
      </w:pPr>
      <w:r w:rsidRPr="5FDE966D" w:rsidR="5CEC8A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Director, Government Affairs</w:t>
      </w:r>
    </w:p>
    <w:p w:rsidR="5CEC8AB9" w:rsidP="5FDE966D" w:rsidRDefault="5CEC8AB9" w14:paraId="2ED9821D" w14:textId="5CD10339">
      <w:pPr>
        <w:shd w:val="clear" w:color="auto" w:fill="FFFFFF" w:themeFill="background1"/>
        <w:spacing w:before="0" w:beforeAutospacing="off" w:after="0" w:afterAutospacing="off"/>
      </w:pPr>
      <w:r w:rsidRPr="5FDE966D" w:rsidR="5CEC8AB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136938"/>
          <w:sz w:val="16"/>
          <w:szCs w:val="16"/>
          <w:lang w:val="en-US"/>
        </w:rPr>
        <w:t>Green Thumb Industries</w:t>
      </w:r>
    </w:p>
    <w:p w:rsidRPr="009873F1" w:rsidR="00890879" w:rsidP="4071094F" w:rsidRDefault="00AD0AC1" w14:paraId="1DD1B669" w14:textId="4B69F71A">
      <w:pPr>
        <w:rPr>
          <w:rFonts w:ascii="Calibri" w:hAnsi="Calibri" w:eastAsia="Calibri" w:cs="Calibri" w:asciiTheme="minorAscii" w:hAnsiTheme="minorAscii" w:eastAsiaTheme="minorAscii" w:cstheme="minorAscii"/>
          <w:color w:val="4F4F4F"/>
          <w:sz w:val="22"/>
          <w:szCs w:val="22"/>
        </w:rPr>
      </w:pPr>
      <w:r w:rsidRPr="5FDE966D" w:rsidR="7D3D66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sectPr w:rsidRPr="009873F1" w:rsidR="00890879" w:rsidSect="00666010">
      <w:headerReference w:type="default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260" w:left="1440" w:header="720" w:footer="6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010" w:rsidP="00EB1757" w:rsidRDefault="00666010" w14:paraId="33099CE6" w14:textId="77777777">
      <w:r>
        <w:separator/>
      </w:r>
    </w:p>
  </w:endnote>
  <w:endnote w:type="continuationSeparator" w:id="0">
    <w:p w:rsidR="00666010" w:rsidP="00EB1757" w:rsidRDefault="00666010" w14:paraId="0E99EDEC" w14:textId="77777777">
      <w:r>
        <w:continuationSeparator/>
      </w:r>
    </w:p>
  </w:endnote>
  <w:endnote w:type="continuationNotice" w:id="1">
    <w:p w:rsidR="00666010" w:rsidRDefault="00666010" w14:paraId="0A63FC9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atrice">
    <w:altName w:val="Calibri"/>
    <w:charset w:val="4D"/>
    <w:family w:val="auto"/>
    <w:pitch w:val="variable"/>
    <w:sig w:usb0="A00000AF" w:usb1="100160DB" w:usb2="00000000" w:usb3="00000000" w:csb0="000001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869790" w:rsidTr="47869790" w14:paraId="4A71C010" w14:textId="77777777">
      <w:trPr>
        <w:trHeight w:val="300"/>
      </w:trPr>
      <w:tc>
        <w:tcPr>
          <w:tcW w:w="3120" w:type="dxa"/>
        </w:tcPr>
        <w:p w:rsidR="47869790" w:rsidP="47869790" w:rsidRDefault="47869790" w14:paraId="01C6D0DF" w14:textId="2B08EBC2">
          <w:pPr>
            <w:pStyle w:val="Header"/>
            <w:ind w:left="-115"/>
          </w:pPr>
        </w:p>
      </w:tc>
      <w:tc>
        <w:tcPr>
          <w:tcW w:w="3120" w:type="dxa"/>
        </w:tcPr>
        <w:p w:rsidR="47869790" w:rsidP="47869790" w:rsidRDefault="47869790" w14:paraId="15546E0C" w14:textId="412082DF">
          <w:pPr>
            <w:pStyle w:val="Header"/>
            <w:jc w:val="center"/>
          </w:pPr>
        </w:p>
      </w:tc>
      <w:tc>
        <w:tcPr>
          <w:tcW w:w="3120" w:type="dxa"/>
        </w:tcPr>
        <w:p w:rsidR="47869790" w:rsidP="47869790" w:rsidRDefault="47869790" w14:paraId="3EE54A75" w14:textId="7CAEE0D3">
          <w:pPr>
            <w:pStyle w:val="Header"/>
            <w:ind w:right="-115"/>
            <w:jc w:val="right"/>
          </w:pPr>
        </w:p>
      </w:tc>
    </w:tr>
  </w:tbl>
  <w:p w:rsidR="47869790" w:rsidP="47869790" w:rsidRDefault="47869790" w14:paraId="0EC9EC48" w14:textId="56CEF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869790" w:rsidTr="47869790" w14:paraId="0F44B59D" w14:textId="77777777">
      <w:trPr>
        <w:trHeight w:val="300"/>
      </w:trPr>
      <w:tc>
        <w:tcPr>
          <w:tcW w:w="3120" w:type="dxa"/>
        </w:tcPr>
        <w:p w:rsidR="47869790" w:rsidP="47869790" w:rsidRDefault="47869790" w14:paraId="702457D2" w14:textId="44502876">
          <w:pPr>
            <w:pStyle w:val="Header"/>
            <w:ind w:left="-115"/>
          </w:pPr>
        </w:p>
      </w:tc>
      <w:tc>
        <w:tcPr>
          <w:tcW w:w="3120" w:type="dxa"/>
        </w:tcPr>
        <w:p w:rsidR="47869790" w:rsidP="47869790" w:rsidRDefault="47869790" w14:paraId="51297CC5" w14:textId="18FECF7D">
          <w:pPr>
            <w:pStyle w:val="Header"/>
            <w:jc w:val="center"/>
          </w:pPr>
        </w:p>
      </w:tc>
      <w:tc>
        <w:tcPr>
          <w:tcW w:w="3120" w:type="dxa"/>
        </w:tcPr>
        <w:p w:rsidR="47869790" w:rsidP="47869790" w:rsidRDefault="47869790" w14:paraId="4AECB219" w14:textId="540A3E80">
          <w:pPr>
            <w:pStyle w:val="Header"/>
            <w:ind w:right="-115"/>
            <w:jc w:val="right"/>
          </w:pPr>
        </w:p>
      </w:tc>
    </w:tr>
  </w:tbl>
  <w:p w:rsidR="47869790" w:rsidP="47869790" w:rsidRDefault="47869790" w14:paraId="1CE6529A" w14:textId="0424C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010" w:rsidP="00EB1757" w:rsidRDefault="00666010" w14:paraId="0CE67125" w14:textId="77777777">
      <w:r>
        <w:separator/>
      </w:r>
    </w:p>
  </w:footnote>
  <w:footnote w:type="continuationSeparator" w:id="0">
    <w:p w:rsidR="00666010" w:rsidP="00EB1757" w:rsidRDefault="00666010" w14:paraId="38A7F94D" w14:textId="77777777">
      <w:r>
        <w:continuationSeparator/>
      </w:r>
    </w:p>
  </w:footnote>
  <w:footnote w:type="continuationNotice" w:id="1">
    <w:p w:rsidR="00666010" w:rsidRDefault="00666010" w14:paraId="55F6064E" w14:textId="77777777"/>
  </w:footnote>
  <w:footnote w:id="2">
    <w:p w:rsidR="0022473C" w:rsidP="0022473C" w:rsidRDefault="0022473C" w14:paraId="65A5809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D6D1522">
        <w:rPr>
          <w:rFonts w:eastAsiaTheme="minorEastAsia"/>
          <w:color w:val="000000" w:themeColor="text1"/>
        </w:rPr>
        <w:t>GMP Certification requires annual third-party</w:t>
      </w:r>
      <w:r w:rsidRPr="0EAD0771">
        <w:rPr>
          <w:rFonts w:eastAsiaTheme="minorEastAsia"/>
          <w:i/>
          <w:iCs/>
          <w:color w:val="000000" w:themeColor="text1"/>
        </w:rPr>
        <w:t xml:space="preserve"> </w:t>
      </w:r>
      <w:r w:rsidRPr="0D6D1522">
        <w:rPr>
          <w:rFonts w:eastAsiaTheme="minorEastAsia"/>
          <w:color w:val="000000" w:themeColor="text1"/>
        </w:rPr>
        <w:t>auditing to ensure the highest safety and quality standards in manufacturing.</w:t>
      </w:r>
    </w:p>
  </w:footnote>
  <w:footnote w:id="3">
    <w:p w:rsidRPr="009D6D88" w:rsidR="002F1B9E" w:rsidP="002F1B9E" w:rsidRDefault="002F1B9E" w14:paraId="16EC29DA" w14:textId="45B104E9">
      <w:pPr>
        <w:pStyle w:val="FootnoteText"/>
        <w:rPr>
          <w:rFonts w:cstheme="minorHAnsi"/>
        </w:rPr>
      </w:pPr>
      <w:r>
        <w:rPr>
          <w:rStyle w:val="FootnoteReference"/>
        </w:rPr>
        <w:footnoteRef/>
      </w:r>
      <w:r>
        <w:t xml:space="preserve"> </w:t>
      </w:r>
      <w:r w:rsidRPr="009D6D88">
        <w:rPr>
          <w:rFonts w:cstheme="minorHAnsi"/>
        </w:rPr>
        <w:t>(*) indicates that a state has separate product lines reserved for medical patients (generally those with higher potency, or higher dosages)</w:t>
      </w:r>
    </w:p>
  </w:footnote>
  <w:footnote w:id="24394">
    <w:p w:rsidR="4071094F" w:rsidP="4071094F" w:rsidRDefault="4071094F" w14:paraId="06515C39" w14:textId="1DD0A152">
      <w:pPr>
        <w:pStyle w:val="FootnoteText"/>
        <w:rPr>
          <w:rFonts w:cs="Calibri" w:cstheme="minorAscii"/>
        </w:rPr>
      </w:pPr>
      <w:r w:rsidRPr="4071094F">
        <w:rPr>
          <w:rStyle w:val="FootnoteReference"/>
          <w:rFonts w:cs="Calibri" w:cstheme="minorAscii"/>
        </w:rPr>
        <w:footnoteRef/>
      </w:r>
      <w:r w:rsidRPr="4071094F" w:rsidR="4071094F">
        <w:rPr>
          <w:rFonts w:cs="Calibri" w:cstheme="minorAscii"/>
        </w:rPr>
        <w:t xml:space="preserve"> Washington state allowed medical operators to convert to </w:t>
      </w:r>
      <w:r w:rsidRPr="4071094F" w:rsidR="4071094F">
        <w:rPr>
          <w:rFonts w:cs="Calibri" w:cstheme="minorAscii"/>
        </w:rPr>
        <w:t>adult-use</w:t>
      </w:r>
      <w:r w:rsidRPr="4071094F" w:rsidR="4071094F">
        <w:rPr>
          <w:rFonts w:cs="Calibri" w:cstheme="minorAscii"/>
        </w:rPr>
        <w:t xml:space="preserve"> to the full extent of their licenses but prohibited vertical integration in its medical program to begin with.</w:t>
      </w:r>
    </w:p>
  </w:footnote>
  <w:footnote w:id="11475">
    <w:p w:rsidR="4071094F" w:rsidP="4071094F" w:rsidRDefault="4071094F" w14:paraId="1382722B" w14:textId="24C6AC0B">
      <w:pPr>
        <w:pStyle w:val="FootnoteText"/>
        <w:rPr>
          <w:rFonts w:cs="Calibri" w:cstheme="minorAscii"/>
        </w:rPr>
      </w:pPr>
      <w:r w:rsidRPr="4071094F">
        <w:rPr>
          <w:rStyle w:val="FootnoteReference"/>
          <w:rFonts w:cs="Calibri" w:cstheme="minorAscii"/>
        </w:rPr>
        <w:footnoteRef/>
      </w:r>
      <w:r w:rsidRPr="4071094F" w:rsidR="4071094F">
        <w:rPr>
          <w:rFonts w:cs="Calibri" w:cstheme="minorAscii"/>
        </w:rPr>
        <w:t xml:space="preserve"> </w:t>
      </w:r>
      <w:hyperlink w:anchor=":~:text=The%20governor's%20office%20proudly%20noted,York's%20cannabis%20industry%20in%202024" r:id="R132fed1c6bc04857">
        <w:r w:rsidRPr="4071094F" w:rsidR="4071094F">
          <w:rPr>
            <w:rStyle w:val="Hyperlink"/>
            <w:rFonts w:cs="Calibri" w:cstheme="minorAscii"/>
          </w:rPr>
          <w:t>https://www.ourtownny.com/news/bud-snub-manhattan-snags-only-one-of-38-new-dispensary-licenses-handed-out-by-nys-MI3192428#:~:text=The%20governor's%20office%20proudly%20noted,York's%20cannabis%20industry%20in%202024</w:t>
        </w:r>
      </w:hyperlink>
      <w:r w:rsidRPr="4071094F" w:rsidR="4071094F">
        <w:rPr>
          <w:rFonts w:cs="Calibri" w:cstheme="minorAscii"/>
        </w:rPr>
        <w:t xml:space="preserve"> (“The state reportedly now has 70 adult-use dispensaries, whether delivery-only or storefront-oriented.”)</w:t>
      </w:r>
    </w:p>
  </w:footnote>
  <w:footnote w:id="1578">
    <w:p w:rsidR="4071094F" w:rsidP="4071094F" w:rsidRDefault="4071094F" w14:paraId="57B06207">
      <w:pPr>
        <w:pStyle w:val="FootnoteText"/>
        <w:rPr>
          <w:rFonts w:cs="Calibri" w:cstheme="minorAscii"/>
        </w:rPr>
      </w:pPr>
      <w:r w:rsidRPr="4071094F">
        <w:rPr>
          <w:rStyle w:val="FootnoteReference"/>
          <w:rFonts w:cs="Calibri" w:cstheme="minorAscii"/>
        </w:rPr>
        <w:footnoteRef/>
      </w:r>
      <w:r w:rsidRPr="4071094F" w:rsidR="4071094F">
        <w:rPr>
          <w:rFonts w:cs="Calibri" w:cstheme="minorAscii"/>
        </w:rPr>
        <w:t xml:space="preserve"> https://www.forbes.com/sites/dariosabaghi/2022/12/07/marijuana-sold-in-new-yorks-unlicensed-businesses-contain-harmful-contaminants-report-finds (“Analyzed by a third-party lab, the test results show that 40% of marijuana products contain harmful contaminants, including E. coli, pesticides, heavy metals, and salmonella.”)</w:t>
      </w:r>
    </w:p>
  </w:footnote>
  <w:footnote w:id="18784">
    <w:p w:rsidR="4071094F" w:rsidP="4071094F" w:rsidRDefault="4071094F" w14:paraId="4CD0A17A" w14:textId="40AD9D16">
      <w:pPr>
        <w:pStyle w:val="FootnoteText"/>
        <w:bidi w:val="0"/>
      </w:pPr>
      <w:r w:rsidRPr="4071094F">
        <w:rPr>
          <w:rStyle w:val="FootnoteReference"/>
        </w:rPr>
        <w:footnoteRef/>
      </w:r>
      <w:r w:rsidR="4071094F">
        <w:rPr/>
        <w:t xml:space="preserve"> https://buffalonews.com/news/local/hochul-says-cannabis-rollout-was-a-disaster-but-fixing-it-is-unlikely/article_979f5a62-bea3-11ee-afa1-4f106e0a993b.html</w:t>
      </w:r>
    </w:p>
  </w:footnote>
  <w:footnote w:id="27959">
    <w:p w:rsidR="4071094F" w:rsidP="4071094F" w:rsidRDefault="4071094F" w14:paraId="21AD5C2C" w14:textId="56FF4C08">
      <w:pPr>
        <w:pStyle w:val="FootnoteText"/>
        <w:bidi w:val="0"/>
      </w:pPr>
      <w:r w:rsidRPr="4071094F">
        <w:rPr>
          <w:rStyle w:val="FootnoteReference"/>
        </w:rPr>
        <w:footnoteRef/>
      </w:r>
      <w:r w:rsidR="4071094F">
        <w:rPr/>
        <w:t xml:space="preserve"> https://cannabis.ny.gov/system/files/documents/2023/01/ocm-annual-report-2022.pdf</w:t>
      </w:r>
    </w:p>
  </w:footnote>
  <w:footnote w:id="6465">
    <w:p w:rsidR="4071094F" w:rsidP="4071094F" w:rsidRDefault="4071094F" w14:paraId="4B4FB3E1" w14:textId="1048188A">
      <w:pPr>
        <w:pStyle w:val="FootnoteText"/>
        <w:bidi w:val="0"/>
      </w:pPr>
      <w:r w:rsidRPr="4071094F">
        <w:rPr>
          <w:rStyle w:val="FootnoteReference"/>
        </w:rPr>
        <w:footnoteRef/>
      </w:r>
      <w:r w:rsidR="4071094F">
        <w:rPr/>
        <w:t xml:space="preserve"> https://mjbizdaily.com/new-york-lawmakers-legalize-recreational-marijuana/</w:t>
      </w:r>
    </w:p>
  </w:footnote>
  <w:footnote w:id="12906">
    <w:p w:rsidR="4071094F" w:rsidP="4071094F" w:rsidRDefault="4071094F" w14:paraId="1656026B" w14:textId="5DA12DF0">
      <w:pPr>
        <w:pStyle w:val="FootnoteText"/>
        <w:bidi w:val="0"/>
      </w:pPr>
      <w:r w:rsidRPr="4071094F">
        <w:rPr>
          <w:rStyle w:val="FootnoteReference"/>
        </w:rPr>
        <w:footnoteRef/>
      </w:r>
      <w:r w:rsidR="4071094F">
        <w:rPr/>
        <w:t xml:space="preserve"> https://cannabis.ny.gov/system/files/documents/2023/12/annual-report-2023-final.pdf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B1757" w:rsidR="00EB1757" w:rsidP="00EB1757" w:rsidRDefault="00EB1757" w14:paraId="7CD0DC40" w14:textId="696884A1">
    <w:pPr>
      <w:pStyle w:val="Header"/>
      <w:jc w:val="center"/>
      <w:rPr>
        <w:color w:val="767171" w:themeColor="background2" w:themeShade="8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04BE0" w:rsidP="4071094F" w:rsidRDefault="00504BE0" w14:paraId="746F9D00" w14:textId="58E325B2">
    <w:pPr>
      <w:pStyle w:val="Normal"/>
      <w:spacing w:before="0" w:beforeAutospacing="off" w:after="0" w:afterAutospacing="off"/>
      <w:jc w:val="center"/>
    </w:pPr>
    <w:r w:rsidR="4071094F">
      <w:drawing>
        <wp:inline wp14:editId="068BB1B6" wp14:anchorId="4CD94620">
          <wp:extent cx="2164268" cy="280440"/>
          <wp:effectExtent l="0" t="0" r="0" b="0"/>
          <wp:docPr id="145601866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82ee2b503bf4017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268" cy="280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504BE0" w:rsidP="4071094F" w:rsidRDefault="00504BE0" w14:paraId="76CDC20B" w14:textId="49D6969F">
    <w:pPr>
      <w:spacing w:before="0" w:beforeAutospacing="off" w:after="0" w:afterAutospacing="off"/>
      <w:jc w:val="center"/>
    </w:pPr>
    <w:r w:rsidRPr="4071094F" w:rsidR="4071094F">
      <w:rPr>
        <w:rFonts w:ascii="Calibri" w:hAnsi="Calibri" w:eastAsia="Calibri" w:cs="Calibri"/>
        <w:noProof w:val="0"/>
        <w:sz w:val="24"/>
        <w:szCs w:val="24"/>
        <w:lang w:val="en-US"/>
      </w:rPr>
      <w:t xml:space="preserve"> </w:t>
    </w:r>
  </w:p>
  <w:p w:rsidR="00504BE0" w:rsidP="4071094F" w:rsidRDefault="00504BE0" w14:paraId="4A2C36A4" w14:textId="66ABA679">
    <w:pPr>
      <w:spacing w:before="0" w:beforeAutospacing="off" w:after="0" w:afterAutospacing="off"/>
      <w:jc w:val="center"/>
    </w:pPr>
    <w:r w:rsidRPr="4071094F" w:rsidR="4071094F">
      <w:rPr>
        <w:rFonts w:ascii="Calibri" w:hAnsi="Calibri" w:eastAsia="Calibri" w:cs="Calibri"/>
        <w:noProof w:val="0"/>
        <w:color w:val="304A1E"/>
        <w:sz w:val="21"/>
        <w:szCs w:val="21"/>
        <w:lang w:val="en-US"/>
      </w:rPr>
      <w:t xml:space="preserve">8235 97th St S, Cottage Grove, MN 55016 </w:t>
    </w:r>
  </w:p>
  <w:p w:rsidR="00504BE0" w:rsidP="4071094F" w:rsidRDefault="00504BE0" w14:paraId="02C2A1FA" w14:textId="0BB7C66F">
    <w:pPr>
      <w:spacing w:before="0" w:beforeAutospacing="off" w:after="0" w:afterAutospacing="off"/>
      <w:jc w:val="center"/>
    </w:pPr>
    <w:r w:rsidRPr="4071094F" w:rsidR="4071094F">
      <w:rPr>
        <w:rFonts w:ascii="Calibri" w:hAnsi="Calibri" w:eastAsia="Calibri" w:cs="Calibri"/>
        <w:noProof w:val="0"/>
        <w:color w:val="304A1E"/>
        <w:sz w:val="21"/>
        <w:szCs w:val="21"/>
        <w:lang w:val="en-US"/>
      </w:rPr>
      <w:t>gtigrows.com</w:t>
    </w:r>
  </w:p>
  <w:p w:rsidR="00504BE0" w:rsidP="00504BE0" w:rsidRDefault="00504BE0" w14:paraId="46B4D652" w14:textId="58E0504E">
    <w:pPr>
      <w:pStyle w:val="Header"/>
      <w:jc w:val="center"/>
    </w:pPr>
  </w:p>
  <w:p w:rsidR="00504BE0" w:rsidP="001F6243" w:rsidRDefault="00504BE0" w14:paraId="2401AA98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4kKDM6jEKOHaY" int2:id="3pE0T8NC">
      <int2:state int2:value="Rejected" int2:type="AugLoop_Text_Critique"/>
    </int2:textHash>
    <int2:textHash int2:hashCode="cVfCG4BtyW0vxu" int2:id="4HOAzBDI">
      <int2:state int2:value="Rejected" int2:type="AugLoop_Text_Critique"/>
    </int2:textHash>
    <int2:textHash int2:hashCode="cDdue9FbalsWTo" int2:id="4yUysHPh">
      <int2:state int2:value="Rejected" int2:type="AugLoop_Text_Critique"/>
    </int2:textHash>
    <int2:textHash int2:hashCode="UrwKt/vG1dBnvk" int2:id="ZV2xr55v">
      <int2:state int2:value="Rejected" int2:type="AugLoop_Text_Critique"/>
    </int2:textHash>
    <int2:textHash int2:hashCode="E86dQxW2PoQ2Rq" int2:id="b4vW11de">
      <int2:state int2:value="Rejected" int2:type="AugLoop_Text_Critique"/>
    </int2:textHash>
    <int2:bookmark int2:bookmarkName="_Int_bu5hrsFU" int2:invalidationBookmarkName="" int2:hashCode="6CKtEzNINSJzth" int2:id="0bri2SSL">
      <int2:state int2:value="Rejected" int2:type="AugLoop_Text_Critique"/>
    </int2:bookmark>
    <int2:bookmark int2:bookmarkName="_Int_WXHHOC09" int2:invalidationBookmarkName="" int2:hashCode="v1+anaRfUIDswh" int2:id="2gjGogMD">
      <int2:state int2:value="Rejected" int2:type="AugLoop_Text_Critique"/>
    </int2:bookmark>
    <int2:bookmark int2:bookmarkName="_Int_BEgkRcxu" int2:invalidationBookmarkName="" int2:hashCode="53oxWZ6Z0V44AE" int2:id="wSwcQO8C">
      <int2:state int2:value="Rejected" int2:type="AugLoop_Text_Critique"/>
    </int2:bookmark>
    <int2:bookmark int2:bookmarkName="_Int_74BNEp3g" int2:invalidationBookmarkName="" int2:hashCode="v1+anaRfUIDswh" int2:id="6awFpaEC">
      <int2:state int2:value="Rejected" int2:type="AugLoop_Text_Critique"/>
    </int2:bookmark>
    <int2:bookmark int2:bookmarkName="_Int_PUqPWkm8" int2:invalidationBookmarkName="" int2:hashCode="IEEkdmk2qlIoq+" int2:id="81QtpmcI">
      <int2:state int2:value="Rejected" int2:type="AugLoop_Text_Critique"/>
    </int2:bookmark>
    <int2:bookmark int2:bookmarkName="_Int_Ujs0MEtu" int2:invalidationBookmarkName="" int2:hashCode="C6SzXJxOM6ab1b" int2:id="MvBwx0M0">
      <int2:state int2:value="Rejected" int2:type="AugLoop_Text_Critique"/>
    </int2:bookmark>
    <int2:bookmark int2:bookmarkName="_Int_WKgWBym5" int2:invalidationBookmarkName="" int2:hashCode="MgFE23tLT0BbRA" int2:id="ODhJtx3h">
      <int2:state int2:value="Rejected" int2:type="AugLoop_Acronyms_AcronymsCritique"/>
    </int2:bookmark>
    <int2:bookmark int2:bookmarkName="_Int_z64zx96Z" int2:invalidationBookmarkName="" int2:hashCode="SMFwPIHakRGYAb" int2:id="OdbRKMP8">
      <int2:state int2:value="Rejected" int2:type="AugLoop_Text_Critique"/>
    </int2:bookmark>
    <int2:bookmark int2:bookmarkName="_Int_kBH9Lx2p" int2:invalidationBookmarkName="" int2:hashCode="AYt50XRSOBnCyA" int2:id="sgbDK8pQ">
      <int2:state int2:value="Rejected" int2:type="AugLoop_Text_Critique"/>
    </int2:bookmark>
    <int2:bookmark int2:bookmarkName="_Int_U6slK1IQ" int2:invalidationBookmarkName="" int2:hashCode="Ub6cI5hesxrTwA" int2:id="U34Z3g7l">
      <int2:state int2:value="Rejected" int2:type="AugLoop_Text_Critique"/>
    </int2:bookmark>
    <int2:bookmark int2:bookmarkName="_Int_lpK1INnI" int2:invalidationBookmarkName="" int2:hashCode="VRyAVr/dM977IK" int2:id="WK0ALcHA">
      <int2:state int2:value="Rejected" int2:type="AugLoop_Text_Critique"/>
    </int2:bookmark>
    <int2:bookmark int2:bookmarkName="_Int_sCvLVb69" int2:invalidationBookmarkName="" int2:hashCode="g1rvUV0PV6icHg" int2:id="XfvGE6ru">
      <int2:state int2:value="Rejected" int2:type="AugLoop_Text_Critique"/>
    </int2:bookmark>
    <int2:bookmark int2:bookmarkName="_Int_GMNyRDP0" int2:invalidationBookmarkName="" int2:hashCode="GnklgVKhe7KpWz" int2:id="YJ5lMlVf">
      <int2:state int2:value="Rejected" int2:type="AugLoop_Text_Critique"/>
    </int2:bookmark>
    <int2:bookmark int2:bookmarkName="_Int_qFziV08W" int2:invalidationBookmarkName="" int2:hashCode="fLH1bT++CegJJE" int2:id="p0gZT3BZ">
      <int2:state int2:value="Rejected" int2:type="AugLoop_Text_Critique"/>
    </int2:bookmark>
    <int2:bookmark int2:bookmarkName="_Int_BeYpSVQl" int2:invalidationBookmarkName="" int2:hashCode="N7dBRKxbARt7Js" int2:id="cVFfN7qq">
      <int2:state int2:value="Rejected" int2:type="AugLoop_Text_Critique"/>
    </int2:bookmark>
    <int2:bookmark int2:bookmarkName="_Int_F80AZexr" int2:invalidationBookmarkName="" int2:hashCode="3bPvKjIwSOetA5" int2:id="kKYAdNdh">
      <int2:state int2:value="Rejected" int2:type="AugLoop_Text_Critique"/>
    </int2:bookmark>
    <int2:bookmark int2:bookmarkName="_Int_26HO4oHs" int2:invalidationBookmarkName="" int2:hashCode="pmgFErNLRIkA17" int2:id="iIAJFnMA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449c78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Roman"/>
      <w:lvlText w:val="%1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be95a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Roman"/>
      <w:lvlText w:val="%1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dba2e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Roman"/>
      <w:lvlText w:val="%1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854534"/>
    <w:multiLevelType w:val="hybridMultilevel"/>
    <w:tmpl w:val="606A3456"/>
    <w:lvl w:ilvl="0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090B"/>
    <w:multiLevelType w:val="hybridMultilevel"/>
    <w:tmpl w:val="4AFAD53C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 w:ascii="Arial" w:hAnsi="Arial" w:cs="Arial"/>
        <w:i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D8716E"/>
    <w:multiLevelType w:val="hybridMultilevel"/>
    <w:tmpl w:val="8CA622C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 w:ascii="Arial" w:hAnsi="Arial" w:cs="Arial"/>
        <w:i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E609E"/>
    <w:multiLevelType w:val="hybridMultilevel"/>
    <w:tmpl w:val="261A2490"/>
    <w:lvl w:ilvl="0" w:tplc="356CC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A63DF"/>
    <w:multiLevelType w:val="hybridMultilevel"/>
    <w:tmpl w:val="54CED2B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6D1C279F"/>
    <w:multiLevelType w:val="hybridMultilevel"/>
    <w:tmpl w:val="0A6E9D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8">
    <w:abstractNumId w:val="7"/>
  </w:num>
  <w:num w:numId="7">
    <w:abstractNumId w:val="6"/>
  </w:num>
  <w:num w:numId="1" w16cid:durableId="757554567">
    <w:abstractNumId w:val="5"/>
  </w:num>
  <w:num w:numId="2" w16cid:durableId="573315750">
    <w:abstractNumId w:val="3"/>
  </w:num>
  <w:num w:numId="3" w16cid:durableId="1869682845">
    <w:abstractNumId w:val="0"/>
  </w:num>
  <w:num w:numId="4" w16cid:durableId="524640656">
    <w:abstractNumId w:val="2"/>
  </w:num>
  <w:num w:numId="5" w16cid:durableId="222916269">
    <w:abstractNumId w:val="4"/>
  </w:num>
  <w:num w:numId="6" w16cid:durableId="127778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57"/>
    <w:rsid w:val="000051F1"/>
    <w:rsid w:val="0001385F"/>
    <w:rsid w:val="00014FB6"/>
    <w:rsid w:val="000305DC"/>
    <w:rsid w:val="000478CB"/>
    <w:rsid w:val="00052A93"/>
    <w:rsid w:val="00052BC3"/>
    <w:rsid w:val="000567FA"/>
    <w:rsid w:val="00061609"/>
    <w:rsid w:val="00061D51"/>
    <w:rsid w:val="00066B7F"/>
    <w:rsid w:val="000819F3"/>
    <w:rsid w:val="0008218E"/>
    <w:rsid w:val="00083136"/>
    <w:rsid w:val="00092AF3"/>
    <w:rsid w:val="000A387E"/>
    <w:rsid w:val="000A4DDB"/>
    <w:rsid w:val="000A63AC"/>
    <w:rsid w:val="000D10B0"/>
    <w:rsid w:val="000D12D1"/>
    <w:rsid w:val="000D2FEF"/>
    <w:rsid w:val="000E6235"/>
    <w:rsid w:val="000F38C1"/>
    <w:rsid w:val="000F4350"/>
    <w:rsid w:val="000F6EEB"/>
    <w:rsid w:val="00104249"/>
    <w:rsid w:val="00104BF9"/>
    <w:rsid w:val="00113DF2"/>
    <w:rsid w:val="001226D8"/>
    <w:rsid w:val="00122A72"/>
    <w:rsid w:val="0012375D"/>
    <w:rsid w:val="0012590E"/>
    <w:rsid w:val="00126233"/>
    <w:rsid w:val="001263C3"/>
    <w:rsid w:val="0012744A"/>
    <w:rsid w:val="00137EEC"/>
    <w:rsid w:val="001422F6"/>
    <w:rsid w:val="0015030D"/>
    <w:rsid w:val="00151335"/>
    <w:rsid w:val="00153753"/>
    <w:rsid w:val="00164C95"/>
    <w:rsid w:val="001678DF"/>
    <w:rsid w:val="001720EC"/>
    <w:rsid w:val="00176288"/>
    <w:rsid w:val="00177325"/>
    <w:rsid w:val="001854A2"/>
    <w:rsid w:val="00185738"/>
    <w:rsid w:val="0018789F"/>
    <w:rsid w:val="001933D2"/>
    <w:rsid w:val="001A5E40"/>
    <w:rsid w:val="001B66F4"/>
    <w:rsid w:val="001C03AE"/>
    <w:rsid w:val="001D3583"/>
    <w:rsid w:val="001D443F"/>
    <w:rsid w:val="001E0D29"/>
    <w:rsid w:val="001F0A1A"/>
    <w:rsid w:val="001F5852"/>
    <w:rsid w:val="001F59FE"/>
    <w:rsid w:val="001F6243"/>
    <w:rsid w:val="00202CC6"/>
    <w:rsid w:val="00204ADF"/>
    <w:rsid w:val="00207D29"/>
    <w:rsid w:val="002121D4"/>
    <w:rsid w:val="0022473C"/>
    <w:rsid w:val="00230A3F"/>
    <w:rsid w:val="00247C12"/>
    <w:rsid w:val="00253CD7"/>
    <w:rsid w:val="00255EAA"/>
    <w:rsid w:val="00265BE2"/>
    <w:rsid w:val="002678A3"/>
    <w:rsid w:val="00270D0C"/>
    <w:rsid w:val="00272881"/>
    <w:rsid w:val="00272A7D"/>
    <w:rsid w:val="00273AF6"/>
    <w:rsid w:val="00282D29"/>
    <w:rsid w:val="00284DCD"/>
    <w:rsid w:val="002905A9"/>
    <w:rsid w:val="00290A25"/>
    <w:rsid w:val="00297049"/>
    <w:rsid w:val="002A33F9"/>
    <w:rsid w:val="002B27F6"/>
    <w:rsid w:val="002C3177"/>
    <w:rsid w:val="002E25FB"/>
    <w:rsid w:val="002F0560"/>
    <w:rsid w:val="002F1B9E"/>
    <w:rsid w:val="00304C35"/>
    <w:rsid w:val="00336B4A"/>
    <w:rsid w:val="00345ACE"/>
    <w:rsid w:val="00345E6B"/>
    <w:rsid w:val="00365062"/>
    <w:rsid w:val="0037330E"/>
    <w:rsid w:val="00375A5C"/>
    <w:rsid w:val="00385571"/>
    <w:rsid w:val="00387DE1"/>
    <w:rsid w:val="00390DF4"/>
    <w:rsid w:val="00395B25"/>
    <w:rsid w:val="003A2AF6"/>
    <w:rsid w:val="003A4095"/>
    <w:rsid w:val="003A4435"/>
    <w:rsid w:val="003A6C0E"/>
    <w:rsid w:val="003B6B4B"/>
    <w:rsid w:val="003B6BFE"/>
    <w:rsid w:val="003C16F1"/>
    <w:rsid w:val="003C2FD9"/>
    <w:rsid w:val="003C3072"/>
    <w:rsid w:val="003C7F23"/>
    <w:rsid w:val="003D775D"/>
    <w:rsid w:val="003E4332"/>
    <w:rsid w:val="003E63FE"/>
    <w:rsid w:val="003F3760"/>
    <w:rsid w:val="003F5152"/>
    <w:rsid w:val="00412554"/>
    <w:rsid w:val="00412B56"/>
    <w:rsid w:val="00416592"/>
    <w:rsid w:val="0041662B"/>
    <w:rsid w:val="00416A9E"/>
    <w:rsid w:val="00423674"/>
    <w:rsid w:val="00437816"/>
    <w:rsid w:val="00442ABC"/>
    <w:rsid w:val="00442E07"/>
    <w:rsid w:val="00445B33"/>
    <w:rsid w:val="00446F9F"/>
    <w:rsid w:val="0045415B"/>
    <w:rsid w:val="00461F51"/>
    <w:rsid w:val="0046390D"/>
    <w:rsid w:val="0046630D"/>
    <w:rsid w:val="00467F58"/>
    <w:rsid w:val="0047678E"/>
    <w:rsid w:val="004825A2"/>
    <w:rsid w:val="00484E75"/>
    <w:rsid w:val="00493D55"/>
    <w:rsid w:val="00496499"/>
    <w:rsid w:val="004A16FA"/>
    <w:rsid w:val="004A74C8"/>
    <w:rsid w:val="004B1449"/>
    <w:rsid w:val="004C3A7E"/>
    <w:rsid w:val="004C53D9"/>
    <w:rsid w:val="004D4D47"/>
    <w:rsid w:val="004D4FB6"/>
    <w:rsid w:val="004E4D18"/>
    <w:rsid w:val="004E6E92"/>
    <w:rsid w:val="004F3A99"/>
    <w:rsid w:val="004F3BD6"/>
    <w:rsid w:val="00500204"/>
    <w:rsid w:val="0050203F"/>
    <w:rsid w:val="0050224A"/>
    <w:rsid w:val="0050270E"/>
    <w:rsid w:val="00504BE0"/>
    <w:rsid w:val="0051032C"/>
    <w:rsid w:val="00513233"/>
    <w:rsid w:val="00521709"/>
    <w:rsid w:val="00523FE5"/>
    <w:rsid w:val="00526AAC"/>
    <w:rsid w:val="00537883"/>
    <w:rsid w:val="00555A07"/>
    <w:rsid w:val="005567EA"/>
    <w:rsid w:val="005606A4"/>
    <w:rsid w:val="005710B3"/>
    <w:rsid w:val="00576742"/>
    <w:rsid w:val="005927A6"/>
    <w:rsid w:val="00593679"/>
    <w:rsid w:val="005947A7"/>
    <w:rsid w:val="005971B3"/>
    <w:rsid w:val="00597AEB"/>
    <w:rsid w:val="005B20CB"/>
    <w:rsid w:val="005B5094"/>
    <w:rsid w:val="005C56FC"/>
    <w:rsid w:val="005C752C"/>
    <w:rsid w:val="005D47E5"/>
    <w:rsid w:val="005E271F"/>
    <w:rsid w:val="005E2E29"/>
    <w:rsid w:val="005E5A7C"/>
    <w:rsid w:val="005F3D3D"/>
    <w:rsid w:val="005F6E84"/>
    <w:rsid w:val="006108B5"/>
    <w:rsid w:val="00611BD7"/>
    <w:rsid w:val="006260F1"/>
    <w:rsid w:val="0062721A"/>
    <w:rsid w:val="006320B5"/>
    <w:rsid w:val="00637C1C"/>
    <w:rsid w:val="00651534"/>
    <w:rsid w:val="00655241"/>
    <w:rsid w:val="00655AB4"/>
    <w:rsid w:val="00660010"/>
    <w:rsid w:val="00663903"/>
    <w:rsid w:val="00666010"/>
    <w:rsid w:val="00680A21"/>
    <w:rsid w:val="00686F29"/>
    <w:rsid w:val="0068744A"/>
    <w:rsid w:val="00687FC0"/>
    <w:rsid w:val="0069473D"/>
    <w:rsid w:val="006A16BF"/>
    <w:rsid w:val="006A4F44"/>
    <w:rsid w:val="006A7EAB"/>
    <w:rsid w:val="006B5CD6"/>
    <w:rsid w:val="006C6B38"/>
    <w:rsid w:val="006C723D"/>
    <w:rsid w:val="006C7B57"/>
    <w:rsid w:val="006D2787"/>
    <w:rsid w:val="006D3AD7"/>
    <w:rsid w:val="006E5CBC"/>
    <w:rsid w:val="006F1648"/>
    <w:rsid w:val="00706F2E"/>
    <w:rsid w:val="0072233B"/>
    <w:rsid w:val="00722452"/>
    <w:rsid w:val="00724DBA"/>
    <w:rsid w:val="007255D7"/>
    <w:rsid w:val="007257E0"/>
    <w:rsid w:val="00725B5D"/>
    <w:rsid w:val="00727512"/>
    <w:rsid w:val="0072751B"/>
    <w:rsid w:val="00731D36"/>
    <w:rsid w:val="00736067"/>
    <w:rsid w:val="00745DD7"/>
    <w:rsid w:val="0075075C"/>
    <w:rsid w:val="00755661"/>
    <w:rsid w:val="007578F7"/>
    <w:rsid w:val="00762185"/>
    <w:rsid w:val="00764ED5"/>
    <w:rsid w:val="0077001E"/>
    <w:rsid w:val="00771107"/>
    <w:rsid w:val="00775537"/>
    <w:rsid w:val="00781521"/>
    <w:rsid w:val="007911DD"/>
    <w:rsid w:val="007B1C18"/>
    <w:rsid w:val="007B40CE"/>
    <w:rsid w:val="007C5336"/>
    <w:rsid w:val="007C63A2"/>
    <w:rsid w:val="00801B20"/>
    <w:rsid w:val="0080332A"/>
    <w:rsid w:val="00813BED"/>
    <w:rsid w:val="0082322F"/>
    <w:rsid w:val="00824543"/>
    <w:rsid w:val="00826DD9"/>
    <w:rsid w:val="00832471"/>
    <w:rsid w:val="00834178"/>
    <w:rsid w:val="00850A29"/>
    <w:rsid w:val="00855139"/>
    <w:rsid w:val="00861E59"/>
    <w:rsid w:val="0087352D"/>
    <w:rsid w:val="00881BDC"/>
    <w:rsid w:val="0088351A"/>
    <w:rsid w:val="008838F7"/>
    <w:rsid w:val="00883986"/>
    <w:rsid w:val="0088427F"/>
    <w:rsid w:val="00885927"/>
    <w:rsid w:val="00885B5B"/>
    <w:rsid w:val="00890879"/>
    <w:rsid w:val="00891D0C"/>
    <w:rsid w:val="008A5C78"/>
    <w:rsid w:val="008B177D"/>
    <w:rsid w:val="008C2EF6"/>
    <w:rsid w:val="008C3183"/>
    <w:rsid w:val="008C3F4A"/>
    <w:rsid w:val="008C75F9"/>
    <w:rsid w:val="008D3576"/>
    <w:rsid w:val="008E1B11"/>
    <w:rsid w:val="008E6A7D"/>
    <w:rsid w:val="008E6DF8"/>
    <w:rsid w:val="008F066C"/>
    <w:rsid w:val="008F453B"/>
    <w:rsid w:val="0090767A"/>
    <w:rsid w:val="0091050A"/>
    <w:rsid w:val="00912017"/>
    <w:rsid w:val="00916E4A"/>
    <w:rsid w:val="00924CB5"/>
    <w:rsid w:val="00932F9F"/>
    <w:rsid w:val="009352CB"/>
    <w:rsid w:val="009379DF"/>
    <w:rsid w:val="00940412"/>
    <w:rsid w:val="00944F34"/>
    <w:rsid w:val="00952F84"/>
    <w:rsid w:val="00970DCC"/>
    <w:rsid w:val="00974E0C"/>
    <w:rsid w:val="009873F1"/>
    <w:rsid w:val="00995A76"/>
    <w:rsid w:val="00996A5D"/>
    <w:rsid w:val="00997FAD"/>
    <w:rsid w:val="009A0F57"/>
    <w:rsid w:val="009A56D5"/>
    <w:rsid w:val="009A5FB7"/>
    <w:rsid w:val="009B1A12"/>
    <w:rsid w:val="009C0360"/>
    <w:rsid w:val="009D6D88"/>
    <w:rsid w:val="009E65CD"/>
    <w:rsid w:val="009E68D1"/>
    <w:rsid w:val="009F44FC"/>
    <w:rsid w:val="009F4B5C"/>
    <w:rsid w:val="009F5113"/>
    <w:rsid w:val="00A0571B"/>
    <w:rsid w:val="00A13226"/>
    <w:rsid w:val="00A13ED5"/>
    <w:rsid w:val="00A3053D"/>
    <w:rsid w:val="00A34971"/>
    <w:rsid w:val="00A40928"/>
    <w:rsid w:val="00A42053"/>
    <w:rsid w:val="00A42D27"/>
    <w:rsid w:val="00A430EE"/>
    <w:rsid w:val="00A4746B"/>
    <w:rsid w:val="00A526FC"/>
    <w:rsid w:val="00A7090C"/>
    <w:rsid w:val="00A80A21"/>
    <w:rsid w:val="00A81D3F"/>
    <w:rsid w:val="00A82148"/>
    <w:rsid w:val="00A83CE4"/>
    <w:rsid w:val="00A90FAA"/>
    <w:rsid w:val="00A94384"/>
    <w:rsid w:val="00A955D0"/>
    <w:rsid w:val="00AB03F3"/>
    <w:rsid w:val="00AB2270"/>
    <w:rsid w:val="00AB6883"/>
    <w:rsid w:val="00AC0513"/>
    <w:rsid w:val="00AD0AC1"/>
    <w:rsid w:val="00AD2C1F"/>
    <w:rsid w:val="00AD451C"/>
    <w:rsid w:val="00AE6BB6"/>
    <w:rsid w:val="00B03773"/>
    <w:rsid w:val="00B1776B"/>
    <w:rsid w:val="00B244BF"/>
    <w:rsid w:val="00B26B55"/>
    <w:rsid w:val="00B27061"/>
    <w:rsid w:val="00B27BD5"/>
    <w:rsid w:val="00B3487B"/>
    <w:rsid w:val="00B40805"/>
    <w:rsid w:val="00B51BF9"/>
    <w:rsid w:val="00B51ECC"/>
    <w:rsid w:val="00B52E80"/>
    <w:rsid w:val="00B56AD5"/>
    <w:rsid w:val="00B63603"/>
    <w:rsid w:val="00B725B2"/>
    <w:rsid w:val="00B90C77"/>
    <w:rsid w:val="00B90D4C"/>
    <w:rsid w:val="00BA0AA5"/>
    <w:rsid w:val="00BA2906"/>
    <w:rsid w:val="00BA4008"/>
    <w:rsid w:val="00BA4106"/>
    <w:rsid w:val="00BB03CC"/>
    <w:rsid w:val="00BC5F0A"/>
    <w:rsid w:val="00BD07D7"/>
    <w:rsid w:val="00BD1699"/>
    <w:rsid w:val="00BE0C37"/>
    <w:rsid w:val="00BE238B"/>
    <w:rsid w:val="00BE35C7"/>
    <w:rsid w:val="00BE511F"/>
    <w:rsid w:val="00C031FA"/>
    <w:rsid w:val="00C05A2B"/>
    <w:rsid w:val="00C07CDE"/>
    <w:rsid w:val="00C15FAE"/>
    <w:rsid w:val="00C174E4"/>
    <w:rsid w:val="00C20C66"/>
    <w:rsid w:val="00C31D76"/>
    <w:rsid w:val="00C339A1"/>
    <w:rsid w:val="00C34E8A"/>
    <w:rsid w:val="00C42849"/>
    <w:rsid w:val="00C43013"/>
    <w:rsid w:val="00C475A1"/>
    <w:rsid w:val="00C56FD8"/>
    <w:rsid w:val="00C62D02"/>
    <w:rsid w:val="00C63F5B"/>
    <w:rsid w:val="00C8497B"/>
    <w:rsid w:val="00C90290"/>
    <w:rsid w:val="00C90401"/>
    <w:rsid w:val="00C952BF"/>
    <w:rsid w:val="00CA1843"/>
    <w:rsid w:val="00CA19E5"/>
    <w:rsid w:val="00CA3D57"/>
    <w:rsid w:val="00CB397F"/>
    <w:rsid w:val="00CC2130"/>
    <w:rsid w:val="00CD2079"/>
    <w:rsid w:val="00CD5926"/>
    <w:rsid w:val="00CE2FB7"/>
    <w:rsid w:val="00CE455E"/>
    <w:rsid w:val="00CE4EB8"/>
    <w:rsid w:val="00CE4FCA"/>
    <w:rsid w:val="00CF24FC"/>
    <w:rsid w:val="00CF2923"/>
    <w:rsid w:val="00CF50B6"/>
    <w:rsid w:val="00D10A69"/>
    <w:rsid w:val="00D144DE"/>
    <w:rsid w:val="00D226E3"/>
    <w:rsid w:val="00D23149"/>
    <w:rsid w:val="00D23285"/>
    <w:rsid w:val="00D25F9E"/>
    <w:rsid w:val="00D30144"/>
    <w:rsid w:val="00D406C3"/>
    <w:rsid w:val="00D5624E"/>
    <w:rsid w:val="00D56C5B"/>
    <w:rsid w:val="00D572A0"/>
    <w:rsid w:val="00D630BD"/>
    <w:rsid w:val="00D67E70"/>
    <w:rsid w:val="00D751D6"/>
    <w:rsid w:val="00D80ED0"/>
    <w:rsid w:val="00D81FE5"/>
    <w:rsid w:val="00D85C55"/>
    <w:rsid w:val="00D90331"/>
    <w:rsid w:val="00D923AD"/>
    <w:rsid w:val="00D927A0"/>
    <w:rsid w:val="00D95311"/>
    <w:rsid w:val="00D973CB"/>
    <w:rsid w:val="00DA39BA"/>
    <w:rsid w:val="00DB4439"/>
    <w:rsid w:val="00DB68B4"/>
    <w:rsid w:val="00DC22A4"/>
    <w:rsid w:val="00DC40F3"/>
    <w:rsid w:val="00DD1D1A"/>
    <w:rsid w:val="00DD3066"/>
    <w:rsid w:val="00DD527B"/>
    <w:rsid w:val="00DD6ADA"/>
    <w:rsid w:val="00DE5E3F"/>
    <w:rsid w:val="00DF6D5B"/>
    <w:rsid w:val="00E035C6"/>
    <w:rsid w:val="00E061F8"/>
    <w:rsid w:val="00E0736A"/>
    <w:rsid w:val="00E13924"/>
    <w:rsid w:val="00E13D0B"/>
    <w:rsid w:val="00E15A05"/>
    <w:rsid w:val="00E17B17"/>
    <w:rsid w:val="00E21902"/>
    <w:rsid w:val="00E30F54"/>
    <w:rsid w:val="00E3534C"/>
    <w:rsid w:val="00E37D55"/>
    <w:rsid w:val="00E512B9"/>
    <w:rsid w:val="00E73FCD"/>
    <w:rsid w:val="00E745B8"/>
    <w:rsid w:val="00E746F6"/>
    <w:rsid w:val="00E84125"/>
    <w:rsid w:val="00E94768"/>
    <w:rsid w:val="00EA3996"/>
    <w:rsid w:val="00EA521A"/>
    <w:rsid w:val="00EB1757"/>
    <w:rsid w:val="00EB3C68"/>
    <w:rsid w:val="00EC45F4"/>
    <w:rsid w:val="00ED198B"/>
    <w:rsid w:val="00ED2DBF"/>
    <w:rsid w:val="00ED2E4E"/>
    <w:rsid w:val="00EE0D1E"/>
    <w:rsid w:val="00EE2461"/>
    <w:rsid w:val="00EE664E"/>
    <w:rsid w:val="00EF1805"/>
    <w:rsid w:val="00EF2ED0"/>
    <w:rsid w:val="00EF74B2"/>
    <w:rsid w:val="00F01FBF"/>
    <w:rsid w:val="00F12C85"/>
    <w:rsid w:val="00F15465"/>
    <w:rsid w:val="00F226E3"/>
    <w:rsid w:val="00F32161"/>
    <w:rsid w:val="00F37193"/>
    <w:rsid w:val="00F40DD8"/>
    <w:rsid w:val="00F410E5"/>
    <w:rsid w:val="00F473FD"/>
    <w:rsid w:val="00F54C93"/>
    <w:rsid w:val="00F576DC"/>
    <w:rsid w:val="00F60994"/>
    <w:rsid w:val="00F62334"/>
    <w:rsid w:val="00F627EA"/>
    <w:rsid w:val="00F6438D"/>
    <w:rsid w:val="00F657A5"/>
    <w:rsid w:val="00F66439"/>
    <w:rsid w:val="00F74231"/>
    <w:rsid w:val="00F812AE"/>
    <w:rsid w:val="00F8500F"/>
    <w:rsid w:val="00F93684"/>
    <w:rsid w:val="00F970F7"/>
    <w:rsid w:val="00FA1A9E"/>
    <w:rsid w:val="00FA1FE6"/>
    <w:rsid w:val="00FB41F1"/>
    <w:rsid w:val="00FC25DA"/>
    <w:rsid w:val="00FC4CC7"/>
    <w:rsid w:val="00FD5235"/>
    <w:rsid w:val="00FD5ED8"/>
    <w:rsid w:val="00FD5FD5"/>
    <w:rsid w:val="00FD7182"/>
    <w:rsid w:val="00FE3258"/>
    <w:rsid w:val="00FE4D38"/>
    <w:rsid w:val="00FF5C55"/>
    <w:rsid w:val="0233324D"/>
    <w:rsid w:val="02D11E7A"/>
    <w:rsid w:val="02FCDDF2"/>
    <w:rsid w:val="0304969F"/>
    <w:rsid w:val="03652951"/>
    <w:rsid w:val="03FE065F"/>
    <w:rsid w:val="043E910B"/>
    <w:rsid w:val="0459B205"/>
    <w:rsid w:val="04D494EF"/>
    <w:rsid w:val="05DC2295"/>
    <w:rsid w:val="074F1B34"/>
    <w:rsid w:val="076E4FB4"/>
    <w:rsid w:val="0832D425"/>
    <w:rsid w:val="09C4F476"/>
    <w:rsid w:val="0A8E26B0"/>
    <w:rsid w:val="0AD04B25"/>
    <w:rsid w:val="0B1191C9"/>
    <w:rsid w:val="0B580424"/>
    <w:rsid w:val="0BB4A083"/>
    <w:rsid w:val="0BD8C84E"/>
    <w:rsid w:val="0BFD6B24"/>
    <w:rsid w:val="0C60AF3C"/>
    <w:rsid w:val="0D4BA4B4"/>
    <w:rsid w:val="0E96A9CC"/>
    <w:rsid w:val="0F776407"/>
    <w:rsid w:val="10292ED9"/>
    <w:rsid w:val="10F2314F"/>
    <w:rsid w:val="114CDFDD"/>
    <w:rsid w:val="119CE68A"/>
    <w:rsid w:val="11A821AB"/>
    <w:rsid w:val="1274C93B"/>
    <w:rsid w:val="12F88954"/>
    <w:rsid w:val="131EAF3A"/>
    <w:rsid w:val="13501526"/>
    <w:rsid w:val="138BBF03"/>
    <w:rsid w:val="138D37D9"/>
    <w:rsid w:val="13B31B9C"/>
    <w:rsid w:val="13B3A771"/>
    <w:rsid w:val="13B97E7E"/>
    <w:rsid w:val="13C970BC"/>
    <w:rsid w:val="142352FE"/>
    <w:rsid w:val="14E9CD7B"/>
    <w:rsid w:val="1518B2ED"/>
    <w:rsid w:val="151B0AD3"/>
    <w:rsid w:val="153DDE62"/>
    <w:rsid w:val="175AE2C3"/>
    <w:rsid w:val="17B00151"/>
    <w:rsid w:val="1874DFD5"/>
    <w:rsid w:val="19A0B623"/>
    <w:rsid w:val="1A50E8EC"/>
    <w:rsid w:val="1A82871E"/>
    <w:rsid w:val="1BA662E6"/>
    <w:rsid w:val="1BB6498F"/>
    <w:rsid w:val="1C053DF6"/>
    <w:rsid w:val="1C469ED4"/>
    <w:rsid w:val="1C814BE4"/>
    <w:rsid w:val="1CAF714A"/>
    <w:rsid w:val="1D2CE675"/>
    <w:rsid w:val="1DA7ABF9"/>
    <w:rsid w:val="1E20867D"/>
    <w:rsid w:val="1E4E795C"/>
    <w:rsid w:val="1FB80CD8"/>
    <w:rsid w:val="20A285D8"/>
    <w:rsid w:val="20EEF562"/>
    <w:rsid w:val="2190AF43"/>
    <w:rsid w:val="226F76F6"/>
    <w:rsid w:val="229ED34D"/>
    <w:rsid w:val="22DD1DC2"/>
    <w:rsid w:val="22F548A7"/>
    <w:rsid w:val="23338D76"/>
    <w:rsid w:val="23B28941"/>
    <w:rsid w:val="23C7E7C9"/>
    <w:rsid w:val="248E4FF4"/>
    <w:rsid w:val="24CAFA17"/>
    <w:rsid w:val="251A2FAC"/>
    <w:rsid w:val="25799E36"/>
    <w:rsid w:val="26C12415"/>
    <w:rsid w:val="26DE9991"/>
    <w:rsid w:val="26E43122"/>
    <w:rsid w:val="286DBCFA"/>
    <w:rsid w:val="291E5D3E"/>
    <w:rsid w:val="2932F6F5"/>
    <w:rsid w:val="296A286F"/>
    <w:rsid w:val="29A246DA"/>
    <w:rsid w:val="2A1D568A"/>
    <w:rsid w:val="2A31C69B"/>
    <w:rsid w:val="2AFC0A7D"/>
    <w:rsid w:val="2BC696A9"/>
    <w:rsid w:val="2BCDBFB3"/>
    <w:rsid w:val="2D7CCFE4"/>
    <w:rsid w:val="2E7E81C6"/>
    <w:rsid w:val="2F0FFD74"/>
    <w:rsid w:val="2F3B7EF6"/>
    <w:rsid w:val="30945416"/>
    <w:rsid w:val="30B5DABD"/>
    <w:rsid w:val="31517DDC"/>
    <w:rsid w:val="3187555C"/>
    <w:rsid w:val="3285475B"/>
    <w:rsid w:val="342A8C8A"/>
    <w:rsid w:val="3456E2E8"/>
    <w:rsid w:val="34B60E6F"/>
    <w:rsid w:val="360A00EA"/>
    <w:rsid w:val="3619B305"/>
    <w:rsid w:val="36E8FA7A"/>
    <w:rsid w:val="3710E2B8"/>
    <w:rsid w:val="3852042E"/>
    <w:rsid w:val="38E3CE7E"/>
    <w:rsid w:val="395FA8AE"/>
    <w:rsid w:val="3A1CE03C"/>
    <w:rsid w:val="3B6D6142"/>
    <w:rsid w:val="3BA39F92"/>
    <w:rsid w:val="3C0F7682"/>
    <w:rsid w:val="3C5259BA"/>
    <w:rsid w:val="3CD2172C"/>
    <w:rsid w:val="3D1A3A38"/>
    <w:rsid w:val="3D46225D"/>
    <w:rsid w:val="3D7547D5"/>
    <w:rsid w:val="3D91D04C"/>
    <w:rsid w:val="3E423211"/>
    <w:rsid w:val="3E459E5F"/>
    <w:rsid w:val="3E6F6960"/>
    <w:rsid w:val="3F30011C"/>
    <w:rsid w:val="3F7C81CA"/>
    <w:rsid w:val="40096A16"/>
    <w:rsid w:val="4019BD81"/>
    <w:rsid w:val="402D18F2"/>
    <w:rsid w:val="40666950"/>
    <w:rsid w:val="4071094F"/>
    <w:rsid w:val="40FB2B85"/>
    <w:rsid w:val="41375EE5"/>
    <w:rsid w:val="41D8A00B"/>
    <w:rsid w:val="4214FE27"/>
    <w:rsid w:val="42269797"/>
    <w:rsid w:val="43A78939"/>
    <w:rsid w:val="43BD41D7"/>
    <w:rsid w:val="444644B6"/>
    <w:rsid w:val="44516A80"/>
    <w:rsid w:val="4454CC2D"/>
    <w:rsid w:val="4470862E"/>
    <w:rsid w:val="45A4C08D"/>
    <w:rsid w:val="45D2A478"/>
    <w:rsid w:val="468127FA"/>
    <w:rsid w:val="4704067A"/>
    <w:rsid w:val="47869790"/>
    <w:rsid w:val="47DD3137"/>
    <w:rsid w:val="49F1A269"/>
    <w:rsid w:val="4A1F958F"/>
    <w:rsid w:val="4A253F68"/>
    <w:rsid w:val="4A5C9557"/>
    <w:rsid w:val="4A5E1C77"/>
    <w:rsid w:val="4AE92148"/>
    <w:rsid w:val="4B0A573A"/>
    <w:rsid w:val="4B46E6F9"/>
    <w:rsid w:val="4B5F335D"/>
    <w:rsid w:val="4B9FE17B"/>
    <w:rsid w:val="4BB025BA"/>
    <w:rsid w:val="4BDEA490"/>
    <w:rsid w:val="4D10ED05"/>
    <w:rsid w:val="4D38F540"/>
    <w:rsid w:val="4D5871C8"/>
    <w:rsid w:val="4E82857E"/>
    <w:rsid w:val="4E9BC9A8"/>
    <w:rsid w:val="4F8773EF"/>
    <w:rsid w:val="514B9B14"/>
    <w:rsid w:val="530C9C07"/>
    <w:rsid w:val="5329A61D"/>
    <w:rsid w:val="54F6B9FE"/>
    <w:rsid w:val="54FE6E47"/>
    <w:rsid w:val="55167AF8"/>
    <w:rsid w:val="55264DDE"/>
    <w:rsid w:val="55EAFA7D"/>
    <w:rsid w:val="5682AA5C"/>
    <w:rsid w:val="569B84AE"/>
    <w:rsid w:val="57318146"/>
    <w:rsid w:val="585E0F8F"/>
    <w:rsid w:val="5876990E"/>
    <w:rsid w:val="590E372E"/>
    <w:rsid w:val="5983CFE8"/>
    <w:rsid w:val="5A021DEA"/>
    <w:rsid w:val="5B410A09"/>
    <w:rsid w:val="5BB01C8C"/>
    <w:rsid w:val="5C2228E9"/>
    <w:rsid w:val="5CEC8AB9"/>
    <w:rsid w:val="5D382DA0"/>
    <w:rsid w:val="5E1E1482"/>
    <w:rsid w:val="5E745697"/>
    <w:rsid w:val="5EF2A29B"/>
    <w:rsid w:val="5F9BA57D"/>
    <w:rsid w:val="5FAEAA45"/>
    <w:rsid w:val="5FDE966D"/>
    <w:rsid w:val="605EB585"/>
    <w:rsid w:val="60A1DAEE"/>
    <w:rsid w:val="60A68B34"/>
    <w:rsid w:val="60AB32FD"/>
    <w:rsid w:val="61CD4DA5"/>
    <w:rsid w:val="620B5F77"/>
    <w:rsid w:val="62471BBC"/>
    <w:rsid w:val="63C2D1DF"/>
    <w:rsid w:val="64C0E1E7"/>
    <w:rsid w:val="6505FECC"/>
    <w:rsid w:val="652399B6"/>
    <w:rsid w:val="659BF998"/>
    <w:rsid w:val="65B0FE68"/>
    <w:rsid w:val="66CF2312"/>
    <w:rsid w:val="66F42A76"/>
    <w:rsid w:val="672C22F8"/>
    <w:rsid w:val="6730DEA4"/>
    <w:rsid w:val="679AF539"/>
    <w:rsid w:val="698F890E"/>
    <w:rsid w:val="6A16C91B"/>
    <w:rsid w:val="6B1E9A0F"/>
    <w:rsid w:val="6B738060"/>
    <w:rsid w:val="6BD64CB1"/>
    <w:rsid w:val="6BDE7B65"/>
    <w:rsid w:val="6C538E1F"/>
    <w:rsid w:val="6D162C3A"/>
    <w:rsid w:val="6D1DA9E2"/>
    <w:rsid w:val="6D36A9DB"/>
    <w:rsid w:val="6DCC3BF9"/>
    <w:rsid w:val="6E91390C"/>
    <w:rsid w:val="6F429209"/>
    <w:rsid w:val="70A4CEC1"/>
    <w:rsid w:val="716E539D"/>
    <w:rsid w:val="72A08978"/>
    <w:rsid w:val="72B1473B"/>
    <w:rsid w:val="72D03327"/>
    <w:rsid w:val="72F2F713"/>
    <w:rsid w:val="7322DF25"/>
    <w:rsid w:val="73554A19"/>
    <w:rsid w:val="735B99BA"/>
    <w:rsid w:val="73C1DC2D"/>
    <w:rsid w:val="74292A02"/>
    <w:rsid w:val="747EE725"/>
    <w:rsid w:val="74D6177B"/>
    <w:rsid w:val="74DD4EB0"/>
    <w:rsid w:val="7511F894"/>
    <w:rsid w:val="75792602"/>
    <w:rsid w:val="768593B8"/>
    <w:rsid w:val="768B5B76"/>
    <w:rsid w:val="76C44EE4"/>
    <w:rsid w:val="76F2F1BB"/>
    <w:rsid w:val="7750ED72"/>
    <w:rsid w:val="77C18C37"/>
    <w:rsid w:val="78899B91"/>
    <w:rsid w:val="795D4CF9"/>
    <w:rsid w:val="7A3889D5"/>
    <w:rsid w:val="7B06D40A"/>
    <w:rsid w:val="7B0BF315"/>
    <w:rsid w:val="7B24145A"/>
    <w:rsid w:val="7C0F392B"/>
    <w:rsid w:val="7C2ACF4B"/>
    <w:rsid w:val="7C38EE0B"/>
    <w:rsid w:val="7CB15733"/>
    <w:rsid w:val="7CCB1CDB"/>
    <w:rsid w:val="7CF31BF7"/>
    <w:rsid w:val="7D246F70"/>
    <w:rsid w:val="7D3D66AB"/>
    <w:rsid w:val="7E8A9EBC"/>
    <w:rsid w:val="7EFB6701"/>
    <w:rsid w:val="7FED8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38A85"/>
  <w15:chartTrackingRefBased/>
  <w15:docId w15:val="{9429F0D3-89BC-48F0-A1AD-B9FAE36E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75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B1757"/>
  </w:style>
  <w:style w:type="paragraph" w:styleId="Footer">
    <w:name w:val="footer"/>
    <w:basedOn w:val="Normal"/>
    <w:link w:val="FooterChar"/>
    <w:uiPriority w:val="99"/>
    <w:unhideWhenUsed/>
    <w:rsid w:val="00EB175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B1757"/>
  </w:style>
  <w:style w:type="paragraph" w:styleId="ListParagraph">
    <w:name w:val="List Paragraph"/>
    <w:basedOn w:val="Normal"/>
    <w:uiPriority w:val="34"/>
    <w:qFormat/>
    <w:rsid w:val="00AD0AC1"/>
    <w:pPr>
      <w:widowControl w:val="0"/>
      <w:autoSpaceDE w:val="0"/>
      <w:autoSpaceDN w:val="0"/>
    </w:pPr>
    <w:rPr>
      <w:rFonts w:ascii="Beatrice" w:hAnsi="Beatrice" w:eastAsia="Beatrice" w:cs="Beatrice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AD0AC1"/>
    <w:rPr>
      <w:kern w:val="2"/>
      <w:sz w:val="20"/>
      <w:szCs w:val="20"/>
      <w14:ligatures w14:val="standardContextual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AD0AC1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D0AC1"/>
    <w:rPr>
      <w:vertAlign w:val="superscript"/>
    </w:rPr>
  </w:style>
  <w:style w:type="paragraph" w:styleId="Revision">
    <w:name w:val="Revision"/>
    <w:hidden/>
    <w:uiPriority w:val="99"/>
    <w:semiHidden/>
    <w:rsid w:val="006B5CD6"/>
  </w:style>
  <w:style w:type="character" w:styleId="Hyperlink">
    <w:name w:val="Hyperlink"/>
    <w:basedOn w:val="DefaultParagraphFont"/>
    <w:uiPriority w:val="99"/>
    <w:unhideWhenUsed/>
    <w:rsid w:val="00593679"/>
    <w:rPr>
      <w:color w:val="0563C1"/>
      <w:u w:val="single"/>
    </w:rPr>
  </w:style>
  <w:style w:type="paragraph" w:styleId="Default" w:customStyle="1">
    <w:name w:val="Default"/>
    <w:rsid w:val="002F1B9E"/>
    <w:pPr>
      <w:autoSpaceDE w:val="0"/>
      <w:autoSpaceDN w:val="0"/>
      <w:adjustRightInd w:val="0"/>
    </w:pPr>
    <w:rPr>
      <w:rFonts w:ascii="Georgia" w:hAnsi="Georgia" w:cs="Georgia"/>
      <w:color w:val="00000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678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Rep.zack.stephenson@house.mn.gov" TargetMode="External" Id="R654034a13d65489e" /><Relationship Type="http://schemas.openxmlformats.org/officeDocument/2006/relationships/hyperlink" Target="mailto:Sen.Lindsey.port@senate.mn" TargetMode="External" Id="R88c8b0fa63924c7b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www.ourtownny.com/news/bud-snub-manhattan-snags-only-one-of-38-new-dispensary-licenses-handed-out-by-nys-MI3192428" TargetMode="External" Id="R132fed1c6bc0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982ee2b503bf40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E3D370A86348933DD65704DF0EB4" ma:contentTypeVersion="15" ma:contentTypeDescription="Create a new document." ma:contentTypeScope="" ma:versionID="c8f278849c1fc29230127917dc0a8ea5">
  <xsd:schema xmlns:xsd="http://www.w3.org/2001/XMLSchema" xmlns:xs="http://www.w3.org/2001/XMLSchema" xmlns:p="http://schemas.microsoft.com/office/2006/metadata/properties" xmlns:ns2="efded932-fa31-4a39-83f4-6026114c84d2" xmlns:ns3="fc630e34-1632-4356-aec4-e1ef9610c3e1" targetNamespace="http://schemas.microsoft.com/office/2006/metadata/properties" ma:root="true" ma:fieldsID="657ad165cc5bddfd6e92647b326717a0" ns2:_="" ns3:_="">
    <xsd:import namespace="efded932-fa31-4a39-83f4-6026114c84d2"/>
    <xsd:import namespace="fc630e34-1632-4356-aec4-e1ef9610c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d932-fa31-4a39-83f4-6026114c8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3dbfaa-f31a-44c2-99f7-5636dd704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30e34-1632-4356-aec4-e1ef9610c3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9fae51-0e1a-4b7b-8e46-757f7540d12c}" ma:internalName="TaxCatchAll" ma:showField="CatchAllData" ma:web="fc630e34-1632-4356-aec4-e1ef9610c3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30e34-1632-4356-aec4-e1ef9610c3e1" xsi:nil="true"/>
    <lcf76f155ced4ddcb4097134ff3c332f xmlns="efded932-fa31-4a39-83f4-6026114c84d2">
      <Terms xmlns="http://schemas.microsoft.com/office/infopath/2007/PartnerControls"/>
    </lcf76f155ced4ddcb4097134ff3c332f>
    <SharedWithUsers xmlns="fc630e34-1632-4356-aec4-e1ef9610c3e1">
      <UserInfo>
        <DisplayName>Rebecca Brown</DisplayName>
        <AccountId>39</AccountId>
        <AccountType/>
      </UserInfo>
      <UserInfo>
        <DisplayName>Rob Zimmer</DisplayName>
        <AccountId>12050</AccountId>
        <AccountType/>
      </UserInfo>
      <UserInfo>
        <DisplayName>Tiffany Newbern-Johnson</DisplayName>
        <AccountId>8383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EFD13-A6BB-40BE-AE94-FBC36019C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6AFC92-EC27-45FD-975B-48346058C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ed932-fa31-4a39-83f4-6026114c84d2"/>
    <ds:schemaRef ds:uri="fc630e34-1632-4356-aec4-e1ef9610c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12D65D-7797-4F32-84DD-CF729D12DFA0}">
  <ds:schemaRefs>
    <ds:schemaRef ds:uri="http://schemas.microsoft.com/office/2006/metadata/properties"/>
    <ds:schemaRef ds:uri="http://schemas.microsoft.com/office/infopath/2007/PartnerControls"/>
    <ds:schemaRef ds:uri="fc630e34-1632-4356-aec4-e1ef9610c3e1"/>
    <ds:schemaRef ds:uri="efded932-fa31-4a39-83f4-6026114c84d2"/>
  </ds:schemaRefs>
</ds:datastoreItem>
</file>

<file path=customXml/itemProps4.xml><?xml version="1.0" encoding="utf-8"?>
<ds:datastoreItem xmlns:ds="http://schemas.openxmlformats.org/officeDocument/2006/customXml" ds:itemID="{54C71E3E-D500-4324-9670-CF2E4110AE9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Odde Lynch</dc:creator>
  <keywords/>
  <dc:description/>
  <lastModifiedBy>Tiffany Newbern-Johnson</lastModifiedBy>
  <revision>424</revision>
  <dcterms:created xsi:type="dcterms:W3CDTF">2024-04-02T21:36:00.0000000Z</dcterms:created>
  <dcterms:modified xsi:type="dcterms:W3CDTF">2024-05-15T04:00:08.0901552Z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0x010100BA05E3D370A86348933DD65704DF0EB4</vt:lpwstr>
  </property>
  <property fmtid="{D5CDD505-2E9C-101B-9397-08002B2CF9AE}" pid="3" name="MediaServiceImageTags">
    <vt:lpwstr/>
  </property>
</Properties>
</file>