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13, 2024</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of Representatives</w:t>
      </w:r>
    </w:p>
    <w:p w:rsidR="00000000" w:rsidDel="00000000" w:rsidP="00000000" w:rsidRDefault="00000000" w:rsidRPr="00000000" w14:paraId="000000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 Finance and Policy Committee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 Mike Freiberg, Chair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 Emma Greenman , Vice-Chair</w:t>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ageBreakBefore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Testimony urging the Minnesota House of Representatives to support HF1064 and call on Congress to Amend the Constitution and Overturn the </w:t>
      </w:r>
      <w:r w:rsidDel="00000000" w:rsidR="00000000" w:rsidRPr="00000000">
        <w:rPr>
          <w:rFonts w:ascii="Times New Roman" w:cs="Times New Roman" w:eastAsia="Times New Roman" w:hAnsi="Times New Roman"/>
          <w:b w:val="1"/>
          <w:i w:val="1"/>
          <w:sz w:val="24"/>
          <w:szCs w:val="24"/>
          <w:rtl w:val="0"/>
        </w:rPr>
        <w:t xml:space="preserve">Citizens United v. FEC (2010) ruling.</w:t>
      </w:r>
    </w:p>
    <w:p w:rsidR="00000000" w:rsidDel="00000000" w:rsidP="00000000" w:rsidRDefault="00000000" w:rsidRPr="00000000" w14:paraId="0000000A">
      <w:pPr>
        <w:pageBreakBefore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members of the Election Finance and Policy Committee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January 21, 2010, the U.S. Supreme Court ruled in </w:t>
      </w:r>
      <w:r w:rsidDel="00000000" w:rsidR="00000000" w:rsidRPr="00000000">
        <w:rPr>
          <w:rFonts w:ascii="Times New Roman" w:cs="Times New Roman" w:eastAsia="Times New Roman" w:hAnsi="Times New Roman"/>
          <w:i w:val="1"/>
          <w:sz w:val="24"/>
          <w:szCs w:val="24"/>
          <w:rtl w:val="0"/>
        </w:rPr>
        <w:t xml:space="preserve">Citizens United v. FEC </w:t>
      </w:r>
      <w:r w:rsidDel="00000000" w:rsidR="00000000" w:rsidRPr="00000000">
        <w:rPr>
          <w:rFonts w:ascii="Times New Roman" w:cs="Times New Roman" w:eastAsia="Times New Roman" w:hAnsi="Times New Roman"/>
          <w:sz w:val="24"/>
          <w:szCs w:val="24"/>
          <w:rtl w:val="0"/>
        </w:rPr>
        <w:t xml:space="preserve">that campaign contributions limits for “independent expenditures” of individuals, unions, and corporations were unconstitutional. In the ruling, the majority argued that spending money in our political process is no different than voicing an opinion; it’s speech and it’s protected under the First Amendment.</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Court’s decision rolled back nearly a century of laws–federal and state–passed by lawmakers from both sides of the aisle who, regardless of political affiliation, agreed that reasonable restrictions can and should be placed on campaign spending by powerful special interests to protect our democracy. </w:t>
      </w:r>
      <w:r w:rsidDel="00000000" w:rsidR="00000000" w:rsidRPr="00000000">
        <w:rPr>
          <w:rFonts w:ascii="Times New Roman" w:cs="Times New Roman" w:eastAsia="Times New Roman" w:hAnsi="Times New Roman"/>
          <w:i w:val="1"/>
          <w:sz w:val="24"/>
          <w:szCs w:val="24"/>
          <w:rtl w:val="0"/>
        </w:rPr>
        <w:t xml:space="preserve">Citizens United</w:t>
      </w:r>
      <w:r w:rsidDel="00000000" w:rsidR="00000000" w:rsidRPr="00000000">
        <w:rPr>
          <w:rFonts w:ascii="Times New Roman" w:cs="Times New Roman" w:eastAsia="Times New Roman" w:hAnsi="Times New Roman"/>
          <w:sz w:val="24"/>
          <w:szCs w:val="24"/>
          <w:rtl w:val="0"/>
        </w:rPr>
        <w:t xml:space="preserve"> itself struck down key parts of the Bipartisan Campaign Reform Act of 2002 (BCRA), known as the McCain-Feingold Act. BCRA was introduced by U.S. Sen. John McCain and was signed into law by President George W. Bush.</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large part due to the impacts of </w:t>
      </w:r>
      <w:r w:rsidDel="00000000" w:rsidR="00000000" w:rsidRPr="00000000">
        <w:rPr>
          <w:rFonts w:ascii="Times New Roman" w:cs="Times New Roman" w:eastAsia="Times New Roman" w:hAnsi="Times New Roman"/>
          <w:i w:val="1"/>
          <w:sz w:val="24"/>
          <w:szCs w:val="24"/>
          <w:rtl w:val="0"/>
        </w:rPr>
        <w:t xml:space="preserve">Citizens United</w:t>
      </w:r>
      <w:r w:rsidDel="00000000" w:rsidR="00000000" w:rsidRPr="00000000">
        <w:rPr>
          <w:rFonts w:ascii="Times New Roman" w:cs="Times New Roman" w:eastAsia="Times New Roman" w:hAnsi="Times New Roman"/>
          <w:sz w:val="24"/>
          <w:szCs w:val="24"/>
          <w:rtl w:val="0"/>
        </w:rPr>
        <w:t xml:space="preserve">, the </w:t>
      </w:r>
      <w:hyperlink r:id="rId7">
        <w:r w:rsidDel="00000000" w:rsidR="00000000" w:rsidRPr="00000000">
          <w:rPr>
            <w:rFonts w:ascii="Times New Roman" w:cs="Times New Roman" w:eastAsia="Times New Roman" w:hAnsi="Times New Roman"/>
            <w:color w:val="1155cc"/>
            <w:sz w:val="24"/>
            <w:szCs w:val="24"/>
            <w:u w:val="single"/>
            <w:rtl w:val="0"/>
          </w:rPr>
          <w:t xml:space="preserve">Economist Intelligence Unit's Democracy Index</w:t>
        </w:r>
      </w:hyperlink>
      <w:r w:rsidDel="00000000" w:rsidR="00000000" w:rsidRPr="00000000">
        <w:rPr>
          <w:rFonts w:ascii="Times New Roman" w:cs="Times New Roman" w:eastAsia="Times New Roman" w:hAnsi="Times New Roman"/>
          <w:sz w:val="24"/>
          <w:szCs w:val="24"/>
          <w:rtl w:val="0"/>
        </w:rPr>
        <w:t xml:space="preserve"> lowered the United States’ rating to a “Flawed Democracy” in 2016 - on the same level as other countries experiencing democratic erosion like Poland and Hungary</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Despite the alarm being sound, Congress has done nothing, and our </w:t>
      </w:r>
      <w:hyperlink r:id="rId8">
        <w:r w:rsidDel="00000000" w:rsidR="00000000" w:rsidRPr="00000000">
          <w:rPr>
            <w:rFonts w:ascii="Times New Roman" w:cs="Times New Roman" w:eastAsia="Times New Roman" w:hAnsi="Times New Roman"/>
            <w:color w:val="1155cc"/>
            <w:sz w:val="24"/>
            <w:szCs w:val="24"/>
            <w:u w:val="single"/>
            <w:rtl w:val="0"/>
          </w:rPr>
          <w:t xml:space="preserve">democracy index continues to fall</w:t>
        </w:r>
      </w:hyperlink>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like to commend the state </w:t>
      </w:r>
      <w:r w:rsidDel="00000000" w:rsidR="00000000" w:rsidRPr="00000000">
        <w:rPr>
          <w:rFonts w:ascii="Times New Roman" w:cs="Times New Roman" w:eastAsia="Times New Roman" w:hAnsi="Times New Roman"/>
          <w:sz w:val="24"/>
          <w:szCs w:val="24"/>
          <w:rtl w:val="0"/>
        </w:rPr>
        <w:t xml:space="preserve">of Minnesota for its current </w:t>
      </w:r>
      <w:hyperlink r:id="rId9">
        <w:r w:rsidDel="00000000" w:rsidR="00000000" w:rsidRPr="00000000">
          <w:rPr>
            <w:rFonts w:ascii="Times New Roman" w:cs="Times New Roman" w:eastAsia="Times New Roman" w:hAnsi="Times New Roman"/>
            <w:color w:val="1155cc"/>
            <w:sz w:val="24"/>
            <w:szCs w:val="24"/>
            <w:u w:val="single"/>
            <w:rtl w:val="0"/>
          </w:rPr>
          <w:t xml:space="preserve">limits on campaign contributions and campaign expenditures</w:t>
        </w:r>
      </w:hyperlink>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However, i</w:t>
      </w:r>
      <w:r w:rsidDel="00000000" w:rsidR="00000000" w:rsidRPr="00000000">
        <w:rPr>
          <w:rFonts w:ascii="Times New Roman" w:cs="Times New Roman" w:eastAsia="Times New Roman" w:hAnsi="Times New Roman"/>
          <w:sz w:val="24"/>
          <w:szCs w:val="24"/>
          <w:rtl w:val="0"/>
        </w:rPr>
        <w:t xml:space="preserve">t’s not enough. </w:t>
      </w:r>
      <w:r w:rsidDel="00000000" w:rsidR="00000000" w:rsidRPr="00000000">
        <w:rPr>
          <w:rFonts w:ascii="Times New Roman" w:cs="Times New Roman" w:eastAsia="Times New Roman" w:hAnsi="Times New Roman"/>
          <w:i w:val="1"/>
          <w:sz w:val="24"/>
          <w:szCs w:val="24"/>
          <w:rtl w:val="0"/>
        </w:rPr>
        <w:t xml:space="preserve">Citizens United </w:t>
      </w:r>
      <w:r w:rsidDel="00000000" w:rsidR="00000000" w:rsidRPr="00000000">
        <w:rPr>
          <w:rFonts w:ascii="Times New Roman" w:cs="Times New Roman" w:eastAsia="Times New Roman" w:hAnsi="Times New Roman"/>
          <w:sz w:val="24"/>
          <w:szCs w:val="24"/>
          <w:rtl w:val="0"/>
        </w:rPr>
        <w:t xml:space="preserve">allows corporations and unions to sidestep this regulation by contributing “dark money” to outside political groups, like trade associations and 501(c)(4) social welfare organizations  without limit and anonymously. They can contribute, as well, to Super PACs. And they can use a combination of corporate and organizational forms to funnel large amounts of money in ways that are almost impossible to track.  </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generally, </w:t>
      </w:r>
      <w:r w:rsidDel="00000000" w:rsidR="00000000" w:rsidRPr="00000000">
        <w:rPr>
          <w:rFonts w:ascii="Times New Roman" w:cs="Times New Roman" w:eastAsia="Times New Roman" w:hAnsi="Times New Roman"/>
          <w:i w:val="1"/>
          <w:sz w:val="24"/>
          <w:szCs w:val="24"/>
          <w:rtl w:val="0"/>
        </w:rPr>
        <w:t xml:space="preserve">Citizens United</w:t>
      </w:r>
      <w:r w:rsidDel="00000000" w:rsidR="00000000" w:rsidRPr="00000000">
        <w:rPr>
          <w:rFonts w:ascii="Times New Roman" w:cs="Times New Roman" w:eastAsia="Times New Roman" w:hAnsi="Times New Roman"/>
          <w:sz w:val="24"/>
          <w:szCs w:val="24"/>
          <w:rtl w:val="0"/>
        </w:rPr>
        <w:t xml:space="preserve"> and its aftermath resulted in a huge spike in outside spending by corporations and a very small number of the super rich, such that outside spending defines many or most closely contested elections.  </w:t>
      </w:r>
      <w:hyperlink r:id="rId10">
        <w:r w:rsidDel="00000000" w:rsidR="00000000" w:rsidRPr="00000000">
          <w:rPr>
            <w:rFonts w:ascii="Times New Roman" w:cs="Times New Roman" w:eastAsia="Times New Roman" w:hAnsi="Times New Roman"/>
            <w:color w:val="1155cc"/>
            <w:sz w:val="24"/>
            <w:szCs w:val="24"/>
            <w:u w:val="single"/>
            <w:rtl w:val="0"/>
          </w:rPr>
          <w:t xml:space="preserve">Almost $20 million</w:t>
        </w:r>
      </w:hyperlink>
      <w:r w:rsidDel="00000000" w:rsidR="00000000" w:rsidRPr="00000000">
        <w:rPr>
          <w:rFonts w:ascii="Times New Roman" w:cs="Times New Roman" w:eastAsia="Times New Roman" w:hAnsi="Times New Roman"/>
          <w:sz w:val="24"/>
          <w:szCs w:val="24"/>
          <w:rtl w:val="0"/>
        </w:rPr>
        <w:t xml:space="preserve"> was spent by outside spenders on just one of Minnesota’s eight federal House races in 2022</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That equals out to just over $26 per constituent. And, all in, </w:t>
      </w:r>
      <w:hyperlink r:id="rId11">
        <w:r w:rsidDel="00000000" w:rsidR="00000000" w:rsidRPr="00000000">
          <w:rPr>
            <w:rFonts w:ascii="Times New Roman" w:cs="Times New Roman" w:eastAsia="Times New Roman" w:hAnsi="Times New Roman"/>
            <w:color w:val="1155cc"/>
            <w:sz w:val="24"/>
            <w:szCs w:val="24"/>
            <w:u w:val="single"/>
            <w:rtl w:val="0"/>
          </w:rPr>
          <w:t xml:space="preserve">$146 million</w:t>
        </w:r>
      </w:hyperlink>
      <w:r w:rsidDel="00000000" w:rsidR="00000000" w:rsidRPr="00000000">
        <w:rPr>
          <w:rFonts w:ascii="Times New Roman" w:cs="Times New Roman" w:eastAsia="Times New Roman" w:hAnsi="Times New Roman"/>
          <w:sz w:val="24"/>
          <w:szCs w:val="24"/>
          <w:rtl w:val="0"/>
        </w:rPr>
        <w:t xml:space="preserve"> was spent on Minnesota’s legislative races in 2020.</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political system rewards politicians who court a handful of major donors and punishes candidates who rely on small donations from a broad base of ordinary citizens. The result: local, state, and national public policies correlate less and less with public sentiment. </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But don’t take my word for it. A </w:t>
      </w:r>
      <w:hyperlink r:id="rId12">
        <w:r w:rsidDel="00000000" w:rsidR="00000000" w:rsidRPr="00000000">
          <w:rPr>
            <w:rFonts w:ascii="Times New Roman" w:cs="Times New Roman" w:eastAsia="Times New Roman" w:hAnsi="Times New Roman"/>
            <w:color w:val="1155cc"/>
            <w:sz w:val="24"/>
            <w:szCs w:val="24"/>
            <w:u w:val="single"/>
            <w:rtl w:val="0"/>
          </w:rPr>
          <w:t xml:space="preserve">major study from Princeton University</w:t>
        </w:r>
      </w:hyperlink>
      <w:r w:rsidDel="00000000" w:rsidR="00000000" w:rsidRPr="00000000">
        <w:rPr>
          <w:rFonts w:ascii="Times New Roman" w:cs="Times New Roman" w:eastAsia="Times New Roman" w:hAnsi="Times New Roman"/>
          <w:sz w:val="24"/>
          <w:szCs w:val="24"/>
          <w:rtl w:val="0"/>
        </w:rPr>
        <w:t xml:space="preserve"> found that “</w:t>
      </w:r>
      <w:r w:rsidDel="00000000" w:rsidR="00000000" w:rsidRPr="00000000">
        <w:rPr>
          <w:rFonts w:ascii="Times New Roman" w:cs="Times New Roman" w:eastAsia="Times New Roman" w:hAnsi="Times New Roman"/>
          <w:i w:val="1"/>
          <w:sz w:val="24"/>
          <w:szCs w:val="24"/>
          <w:rtl w:val="0"/>
        </w:rPr>
        <w:t xml:space="preserve">Multivariate analysis indicates that economic elites and organized groups representing business interests have substantial independent impacts on US government policy, while average citizens and mass-based interest groups have little or no independent influence.</w:t>
      </w:r>
      <w:r w:rsidDel="00000000" w:rsidR="00000000" w:rsidRPr="00000000">
        <w:rPr>
          <w:rFonts w:ascii="Times New Roman" w:cs="Times New Roman" w:eastAsia="Times New Roman" w:hAnsi="Times New Roman"/>
          <w:i w:val="1"/>
          <w:sz w:val="24"/>
          <w:szCs w:val="24"/>
          <w:vertAlign w:val="superscript"/>
        </w:rPr>
        <w:footnoteReference w:customMarkFollows="0" w:id="5"/>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w:t>
      </w:r>
      <w:r w:rsidDel="00000000" w:rsidR="00000000" w:rsidRPr="00000000">
        <w:rPr>
          <w:rFonts w:ascii="Times New Roman" w:cs="Times New Roman" w:eastAsia="Times New Roman" w:hAnsi="Times New Roman"/>
          <w:sz w:val="24"/>
          <w:szCs w:val="24"/>
          <w:rtl w:val="0"/>
        </w:rPr>
        <w:t xml:space="preserve">nation was founded to be “of the people, by the people” and “for the people,” </w:t>
      </w:r>
      <w:r w:rsidDel="00000000" w:rsidR="00000000" w:rsidRPr="00000000">
        <w:rPr>
          <w:rFonts w:ascii="Times New Roman" w:cs="Times New Roman" w:eastAsia="Times New Roman" w:hAnsi="Times New Roman"/>
          <w:sz w:val="24"/>
          <w:szCs w:val="24"/>
          <w:rtl w:val="0"/>
        </w:rPr>
        <w:t xml:space="preserve">and Americans across the political spectrum agree that big donors have too much power over our government. A</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national poll </w:t>
        </w:r>
      </w:hyperlink>
      <w:r w:rsidDel="00000000" w:rsidR="00000000" w:rsidRPr="00000000">
        <w:rPr>
          <w:rFonts w:ascii="Times New Roman" w:cs="Times New Roman" w:eastAsia="Times New Roman" w:hAnsi="Times New Roman"/>
          <w:sz w:val="24"/>
          <w:szCs w:val="24"/>
          <w:rtl w:val="0"/>
        </w:rPr>
        <w:t xml:space="preserve">found that 80 percent of Republicans and 83 percent of Democrats support overturning </w:t>
      </w:r>
      <w:r w:rsidDel="00000000" w:rsidR="00000000" w:rsidRPr="00000000">
        <w:rPr>
          <w:rFonts w:ascii="Times New Roman" w:cs="Times New Roman" w:eastAsia="Times New Roman" w:hAnsi="Times New Roman"/>
          <w:i w:val="1"/>
          <w:sz w:val="24"/>
          <w:szCs w:val="24"/>
          <w:rtl w:val="0"/>
        </w:rPr>
        <w:t xml:space="preserve">Citizens United.</w:t>
      </w:r>
      <w:r w:rsidDel="00000000" w:rsidR="00000000" w:rsidRPr="00000000">
        <w:rPr>
          <w:rFonts w:ascii="Times New Roman" w:cs="Times New Roman" w:eastAsia="Times New Roman" w:hAnsi="Times New Roman"/>
          <w:i w:val="1"/>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Few other issues unite us in this way. </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would not be alone in calling for a constitutional amendment. </w:t>
      </w:r>
      <w:hyperlink r:id="rId14">
        <w:r w:rsidDel="00000000" w:rsidR="00000000" w:rsidRPr="00000000">
          <w:rPr>
            <w:rFonts w:ascii="Times New Roman" w:cs="Times New Roman" w:eastAsia="Times New Roman" w:hAnsi="Times New Roman"/>
            <w:color w:val="1155cc"/>
            <w:sz w:val="24"/>
            <w:szCs w:val="24"/>
            <w:u w:val="single"/>
            <w:rtl w:val="0"/>
          </w:rPr>
          <w:t xml:space="preserve">22 states, Washington, D.C., and more than 800 municipalities</w:t>
        </w:r>
      </w:hyperlink>
      <w:r w:rsidDel="00000000" w:rsidR="00000000" w:rsidRPr="00000000">
        <w:rPr>
          <w:rFonts w:ascii="Times New Roman" w:cs="Times New Roman" w:eastAsia="Times New Roman" w:hAnsi="Times New Roman"/>
          <w:sz w:val="24"/>
          <w:szCs w:val="24"/>
          <w:rtl w:val="0"/>
        </w:rPr>
        <w:t xml:space="preserve"> have already called for a constitutional amendment to overturn this ruling that’s proved so damaging to our democracy</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More than </w:t>
      </w:r>
      <w:hyperlink r:id="rId15">
        <w:r w:rsidDel="00000000" w:rsidR="00000000" w:rsidRPr="00000000">
          <w:rPr>
            <w:rFonts w:ascii="Times New Roman" w:cs="Times New Roman" w:eastAsia="Times New Roman" w:hAnsi="Times New Roman"/>
            <w:color w:val="1155cc"/>
            <w:sz w:val="24"/>
            <w:szCs w:val="24"/>
            <w:u w:val="single"/>
            <w:rtl w:val="0"/>
          </w:rPr>
          <w:t xml:space="preserve">5 million petition signatures</w:t>
        </w:r>
      </w:hyperlink>
      <w:r w:rsidDel="00000000" w:rsidR="00000000" w:rsidRPr="00000000">
        <w:rPr>
          <w:rFonts w:ascii="Times New Roman" w:cs="Times New Roman" w:eastAsia="Times New Roman" w:hAnsi="Times New Roman"/>
          <w:sz w:val="24"/>
          <w:szCs w:val="24"/>
          <w:rtl w:val="0"/>
        </w:rPr>
        <w:t xml:space="preserve"> have been gathered nationwide calling for an amendment</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ruling weakens states’ rights by opening the doors for deep-pocketed outside interests to disproportionately dominate local elections. This is not normal, nor is it okay.</w:t>
      </w: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founding fathers spoke to the importance of a person’s political influence being the same, regardless of economic bracket. To quote James Madison in the Federalist Papers:</w:t>
      </w:r>
    </w:p>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“Who are to be the electors of the federal representatives? Not the rich, more than the poor; not the learned, more than the ignorant; not the haughty heirs of distinguished names, more than the humble sons of obscure and unpropitious fortune.  The electors are to be the great body of the people of the United States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current system runs contrary to Madison’s vision. Our current system runs contrary to the will of the people. Our current system caters to the needs of billionaires over the general population, to corporations over small businesses, </w:t>
      </w:r>
      <w:r w:rsidDel="00000000" w:rsidR="00000000" w:rsidRPr="00000000">
        <w:rPr>
          <w:rFonts w:ascii="Times New Roman" w:cs="Times New Roman" w:eastAsia="Times New Roman" w:hAnsi="Times New Roman"/>
          <w:b w:val="1"/>
          <w:sz w:val="24"/>
          <w:szCs w:val="24"/>
          <w:rtl w:val="0"/>
        </w:rPr>
        <w:t xml:space="preserve">and to the political greed of a minority over the common sense of the majority</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i w:val="1"/>
          <w:sz w:val="24"/>
          <w:szCs w:val="24"/>
          <w:rtl w:val="0"/>
        </w:rPr>
        <w:t xml:space="preserve">Citizen United </w:t>
      </w:r>
      <w:r w:rsidDel="00000000" w:rsidR="00000000" w:rsidRPr="00000000">
        <w:rPr>
          <w:rFonts w:ascii="Times New Roman" w:cs="Times New Roman" w:eastAsia="Times New Roman" w:hAnsi="Times New Roman"/>
          <w:sz w:val="24"/>
          <w:szCs w:val="24"/>
          <w:rtl w:val="0"/>
        </w:rPr>
        <w:t xml:space="preserve">ruling is central to these wrongs, and Minnesota should join independent-thinking states throughout the nation in calling for the return of our democracy to the people.</w:t>
      </w:r>
    </w:p>
    <w:p w:rsidR="00000000" w:rsidDel="00000000" w:rsidP="00000000" w:rsidRDefault="00000000" w:rsidRPr="00000000" w14:paraId="00000026">
      <w:pPr>
        <w:pStyle w:val="Heading3"/>
        <w:keepNext w:val="0"/>
        <w:keepLines w:val="0"/>
        <w:pageBreakBefore w:val="0"/>
        <w:spacing w:before="280" w:lineRule="auto"/>
        <w:rPr>
          <w:rFonts w:ascii="Times New Roman" w:cs="Times New Roman" w:eastAsia="Times New Roman" w:hAnsi="Times New Roman"/>
          <w:sz w:val="24"/>
          <w:szCs w:val="24"/>
        </w:rPr>
      </w:pPr>
      <w:bookmarkStart w:colFirst="0" w:colLast="0" w:name="_l8n49zjej8lg" w:id="0"/>
      <w:bookmarkEnd w:id="0"/>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w:t>
      </w:r>
      <w:r w:rsidDel="00000000" w:rsidR="00000000" w:rsidRPr="00000000">
        <w:rPr>
          <w:rFonts w:ascii="Times New Roman" w:cs="Times New Roman" w:eastAsia="Times New Roman" w:hAnsi="Times New Roman"/>
          <w:sz w:val="24"/>
          <w:szCs w:val="24"/>
          <w:rtl w:val="0"/>
        </w:rPr>
        <w:t xml:space="preserve">resolution t</w:t>
      </w:r>
      <w:r w:rsidDel="00000000" w:rsidR="00000000" w:rsidRPr="00000000">
        <w:rPr>
          <w:rFonts w:ascii="Times New Roman" w:cs="Times New Roman" w:eastAsia="Times New Roman" w:hAnsi="Times New Roman"/>
          <w:sz w:val="24"/>
          <w:szCs w:val="24"/>
          <w:rtl w:val="0"/>
        </w:rPr>
        <w:t xml:space="preserve">o overturn </w:t>
      </w:r>
      <w:r w:rsidDel="00000000" w:rsidR="00000000" w:rsidRPr="00000000">
        <w:rPr>
          <w:rFonts w:ascii="Times New Roman" w:cs="Times New Roman" w:eastAsia="Times New Roman" w:hAnsi="Times New Roman"/>
          <w:i w:val="1"/>
          <w:sz w:val="24"/>
          <w:szCs w:val="24"/>
          <w:rtl w:val="0"/>
        </w:rPr>
        <w:t xml:space="preserve">Citizens United, </w:t>
      </w:r>
      <w:r w:rsidDel="00000000" w:rsidR="00000000" w:rsidRPr="00000000">
        <w:rPr>
          <w:rFonts w:ascii="Times New Roman" w:cs="Times New Roman" w:eastAsia="Times New Roman" w:hAnsi="Times New Roman"/>
          <w:sz w:val="24"/>
          <w:szCs w:val="24"/>
          <w:rtl w:val="0"/>
        </w:rPr>
        <w:t xml:space="preserve">HF1064 deserves your backing.</w:t>
      </w:r>
      <w:r w:rsidDel="00000000" w:rsidR="00000000" w:rsidRPr="00000000">
        <w:rPr>
          <w:rtl w:val="0"/>
        </w:rPr>
      </w:r>
    </w:p>
    <w:p w:rsidR="00000000" w:rsidDel="00000000" w:rsidP="00000000" w:rsidRDefault="00000000" w:rsidRPr="00000000" w14:paraId="00000027">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Respectfully Submitted,</w:t>
      </w:r>
    </w:p>
    <w:p w:rsidR="00000000" w:rsidDel="00000000" w:rsidP="00000000" w:rsidRDefault="00000000" w:rsidRPr="00000000" w14:paraId="00000028">
      <w:pPr>
        <w:tabs>
          <w:tab w:val="left" w:leader="none" w:pos="9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Jonah Minkoff-Zern</w:t>
      </w:r>
    </w:p>
    <w:p w:rsidR="00000000" w:rsidDel="00000000" w:rsidP="00000000" w:rsidRDefault="00000000" w:rsidRPr="00000000" w14:paraId="00000029">
      <w:pPr>
        <w:tabs>
          <w:tab w:val="left" w:leader="none" w:pos="9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Co-Director, Democracy Campaign</w:t>
      </w:r>
    </w:p>
    <w:p w:rsidR="00000000" w:rsidDel="00000000" w:rsidP="00000000" w:rsidRDefault="00000000" w:rsidRPr="00000000" w14:paraId="0000002A">
      <w:pPr>
        <w:tabs>
          <w:tab w:val="left" w:leader="none" w:pos="9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Citizen</w:t>
      </w:r>
    </w:p>
    <w:p w:rsidR="00000000" w:rsidDel="00000000" w:rsidP="00000000" w:rsidRDefault="00000000" w:rsidRPr="00000000" w14:paraId="0000002B">
      <w:pPr>
        <w:tabs>
          <w:tab w:val="left" w:leader="none" w:pos="9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1600 20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Street, NW</w:t>
      </w:r>
    </w:p>
    <w:p w:rsidR="00000000" w:rsidDel="00000000" w:rsidP="00000000" w:rsidRDefault="00000000" w:rsidRPr="00000000" w14:paraId="0000002C">
      <w:pPr>
        <w:tabs>
          <w:tab w:val="left" w:leader="none" w:pos="9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Washington, D.C.  20009</w:t>
      </w:r>
    </w:p>
    <w:p w:rsidR="00000000" w:rsidDel="00000000" w:rsidP="00000000" w:rsidRDefault="00000000" w:rsidRPr="00000000" w14:paraId="0000002D">
      <w:pPr>
        <w:tabs>
          <w:tab w:val="left" w:leader="none" w:pos="9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225-8491</w:t>
      </w:r>
    </w:p>
    <w:sectPr>
      <w:headerReference r:id="rId1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Economist Intellegence Unit Limited. (2017). Democracy Index 2016. The Economist. Retrieved from </w:t>
      </w:r>
      <w:hyperlink r:id="rId1">
        <w:r w:rsidDel="00000000" w:rsidR="00000000" w:rsidRPr="00000000">
          <w:rPr>
            <w:rFonts w:ascii="Times New Roman" w:cs="Times New Roman" w:eastAsia="Times New Roman" w:hAnsi="Times New Roman"/>
            <w:color w:val="1155cc"/>
            <w:sz w:val="20"/>
            <w:szCs w:val="20"/>
            <w:u w:val="single"/>
            <w:rtl w:val="0"/>
          </w:rPr>
          <w:t xml:space="preserve">https://impact.economist.com/perspectives/sites/default/files/The%20EIU%27s%202016%20Democracy%20Index_0.pdf</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3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Economist Intellegence Unit Limited. (2023). Democracy Index 2022. The Economist. Retrieved from </w:t>
      </w:r>
      <w:hyperlink r:id="rId2">
        <w:r w:rsidDel="00000000" w:rsidR="00000000" w:rsidRPr="00000000">
          <w:rPr>
            <w:rFonts w:ascii="Times New Roman" w:cs="Times New Roman" w:eastAsia="Times New Roman" w:hAnsi="Times New Roman"/>
            <w:color w:val="1155cc"/>
            <w:sz w:val="20"/>
            <w:szCs w:val="20"/>
            <w:u w:val="single"/>
            <w:rtl w:val="0"/>
          </w:rPr>
          <w:t xml:space="preserve">https://www.eiu.com/n/campaigns/democracy-index-2022/</w:t>
        </w:r>
      </w:hyperlink>
      <w:r w:rsidDel="00000000" w:rsidR="00000000" w:rsidRPr="00000000">
        <w:rPr>
          <w:rFonts w:ascii="Times New Roman" w:cs="Times New Roman" w:eastAsia="Times New Roman" w:hAnsi="Times New Roman"/>
          <w:sz w:val="20"/>
          <w:szCs w:val="20"/>
          <w:rtl w:val="0"/>
        </w:rPr>
        <w:t xml:space="preserve"> </w:t>
      </w:r>
    </w:p>
  </w:footnote>
  <w:footnote w:id="2">
    <w:p w:rsidR="00000000" w:rsidDel="00000000" w:rsidP="00000000" w:rsidRDefault="00000000" w:rsidRPr="00000000" w14:paraId="0000003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Minnesota Campaign Finance Board. (2023). </w:t>
      </w:r>
      <w:r w:rsidDel="00000000" w:rsidR="00000000" w:rsidRPr="00000000">
        <w:rPr>
          <w:rFonts w:ascii="Times New Roman" w:cs="Times New Roman" w:eastAsia="Times New Roman" w:hAnsi="Times New Roman"/>
          <w:i w:val="1"/>
          <w:sz w:val="20"/>
          <w:szCs w:val="20"/>
          <w:rtl w:val="0"/>
        </w:rPr>
        <w:t xml:space="preserve">2023 – 2024 Election Cycle Segment Contribution Limits.</w:t>
      </w:r>
      <w:r w:rsidDel="00000000" w:rsidR="00000000" w:rsidRPr="00000000">
        <w:rPr>
          <w:rFonts w:ascii="Times New Roman" w:cs="Times New Roman" w:eastAsia="Times New Roman" w:hAnsi="Times New Roman"/>
          <w:sz w:val="20"/>
          <w:szCs w:val="20"/>
          <w:rtl w:val="0"/>
        </w:rPr>
        <w:t xml:space="preserve"> Retrieved from Minnesota Campaign Finance Board: </w:t>
      </w:r>
      <w:hyperlink r:id="rId3">
        <w:r w:rsidDel="00000000" w:rsidR="00000000" w:rsidRPr="00000000">
          <w:rPr>
            <w:rFonts w:ascii="Times New Roman" w:cs="Times New Roman" w:eastAsia="Times New Roman" w:hAnsi="Times New Roman"/>
            <w:color w:val="1155cc"/>
            <w:sz w:val="20"/>
            <w:szCs w:val="20"/>
            <w:u w:val="single"/>
            <w:rtl w:val="0"/>
          </w:rPr>
          <w:t xml:space="preserve">https://cfb.mn.gov/pdf/camfin/contrib_limits_2024.pdf?t=1697068800</w:t>
        </w:r>
      </w:hyperlink>
      <w:r w:rsidDel="00000000" w:rsidR="00000000" w:rsidRPr="00000000">
        <w:rPr>
          <w:rFonts w:ascii="Times New Roman" w:cs="Times New Roman" w:eastAsia="Times New Roman" w:hAnsi="Times New Roman"/>
          <w:sz w:val="20"/>
          <w:szCs w:val="20"/>
          <w:rtl w:val="0"/>
        </w:rPr>
        <w:t xml:space="preserve"> </w:t>
      </w:r>
    </w:p>
  </w:footnote>
  <w:footnote w:id="3">
    <w:p w:rsidR="00000000" w:rsidDel="00000000" w:rsidP="00000000" w:rsidRDefault="00000000" w:rsidRPr="00000000" w14:paraId="0000003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Open Secrets. (2022). Minnesota District 06 2022 Race. Retrieved from Open Secrets: </w:t>
      </w:r>
      <w:hyperlink r:id="rId4">
        <w:r w:rsidDel="00000000" w:rsidR="00000000" w:rsidRPr="00000000">
          <w:rPr>
            <w:rFonts w:ascii="Times New Roman" w:cs="Times New Roman" w:eastAsia="Times New Roman" w:hAnsi="Times New Roman"/>
            <w:color w:val="1155cc"/>
            <w:sz w:val="20"/>
            <w:szCs w:val="20"/>
            <w:u w:val="single"/>
            <w:rtl w:val="0"/>
          </w:rPr>
          <w:t xml:space="preserve">https://www.opensecrets.org/races/summary?cycle=2022&amp;id=MN02&amp;spec=N</w:t>
        </w:r>
      </w:hyperlink>
      <w:r w:rsidDel="00000000" w:rsidR="00000000" w:rsidRPr="00000000">
        <w:rPr>
          <w:rFonts w:ascii="Times New Roman" w:cs="Times New Roman" w:eastAsia="Times New Roman" w:hAnsi="Times New Roman"/>
          <w:sz w:val="20"/>
          <w:szCs w:val="20"/>
          <w:rtl w:val="0"/>
        </w:rPr>
        <w:t xml:space="preserve"> </w:t>
      </w:r>
    </w:p>
  </w:footnote>
  <w:footnote w:id="4">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Pearson, K., &amp; Jacobs, L. R. (2021). Transparency and Campaign Spending in Minnesota in 2020. University of Minnesota, Humphrey School of Public Affairs. Minneapolis, US: Center for the Study of Politics and Governance. Retrieved from </w:t>
      </w:r>
      <w:hyperlink r:id="rId5">
        <w:r w:rsidDel="00000000" w:rsidR="00000000" w:rsidRPr="00000000">
          <w:rPr>
            <w:rFonts w:ascii="Times New Roman" w:cs="Times New Roman" w:eastAsia="Times New Roman" w:hAnsi="Times New Roman"/>
            <w:color w:val="1155cc"/>
            <w:sz w:val="20"/>
            <w:szCs w:val="20"/>
            <w:u w:val="single"/>
            <w:rtl w:val="0"/>
          </w:rPr>
          <w:t xml:space="preserve">https://conservancy.umn.edu/bitstream/handle/11299/219523/Transparency%20and%20Campaign%20Spending%20Report%202020.pdf?sequence=1&amp;isAllowed=y</w:t>
        </w:r>
      </w:hyperlink>
      <w:r w:rsidDel="00000000" w:rsidR="00000000" w:rsidRPr="00000000">
        <w:rPr>
          <w:rFonts w:ascii="Times New Roman" w:cs="Times New Roman" w:eastAsia="Times New Roman" w:hAnsi="Times New Roman"/>
          <w:sz w:val="20"/>
          <w:szCs w:val="20"/>
          <w:rtl w:val="0"/>
        </w:rPr>
        <w:t xml:space="preserve"> </w:t>
      </w:r>
    </w:p>
  </w:footnote>
  <w:footnote w:id="5">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Gilens, M., &amp; Page, B. I. (2014). Testing Theories of American Politics: Elites, Interest Groups, and Average Citizens. Cambridge, US: Cambridge University Press. Retrieved from </w:t>
      </w:r>
      <w:hyperlink r:id="rId6">
        <w:r w:rsidDel="00000000" w:rsidR="00000000" w:rsidRPr="00000000">
          <w:rPr>
            <w:rFonts w:ascii="Times New Roman" w:cs="Times New Roman" w:eastAsia="Times New Roman" w:hAnsi="Times New Roman"/>
            <w:color w:val="1155cc"/>
            <w:sz w:val="20"/>
            <w:szCs w:val="20"/>
            <w:u w:val="single"/>
            <w:rtl w:val="0"/>
          </w:rPr>
          <w:t xml:space="preserve">https://www.cambridge.org/core/journals/perspectives-on-politics/article/testing-theories-of-american-politics-elites-interest-groups-and-average-citizens/62327F513959D0A304D4893B382B992B</w:t>
        </w:r>
      </w:hyperlink>
      <w:r w:rsidDel="00000000" w:rsidR="00000000" w:rsidRPr="00000000">
        <w:rPr>
          <w:rFonts w:ascii="Times New Roman" w:cs="Times New Roman" w:eastAsia="Times New Roman" w:hAnsi="Times New Roman"/>
          <w:sz w:val="20"/>
          <w:szCs w:val="20"/>
          <w:rtl w:val="0"/>
        </w:rPr>
        <w:t xml:space="preserve"> </w:t>
      </w:r>
    </w:p>
  </w:footnote>
  <w:footnote w:id="6">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Stohr, G. (2015, September 28). Bloomberg Poll: Americans Want Supreme Court to Turn Off Political Spending Spigot. Retrieved from Bloomberg: </w:t>
      </w:r>
      <w:hyperlink r:id="rId7">
        <w:r w:rsidDel="00000000" w:rsidR="00000000" w:rsidRPr="00000000">
          <w:rPr>
            <w:rFonts w:ascii="Times New Roman" w:cs="Times New Roman" w:eastAsia="Times New Roman" w:hAnsi="Times New Roman"/>
            <w:color w:val="1155cc"/>
            <w:sz w:val="20"/>
            <w:szCs w:val="20"/>
            <w:u w:val="single"/>
            <w:rtl w:val="0"/>
          </w:rPr>
          <w:t xml:space="preserve">https://www.bloomberg.com/politics/articles/2015-09-28/bloomberg-poll-americans-want-supreme-court-to-turn-off-political-spending-spigot?embedded-checkout=true</w:t>
        </w:r>
      </w:hyperlink>
      <w:r w:rsidDel="00000000" w:rsidR="00000000" w:rsidRPr="00000000">
        <w:rPr>
          <w:rFonts w:ascii="Times New Roman" w:cs="Times New Roman" w:eastAsia="Times New Roman" w:hAnsi="Times New Roman"/>
          <w:sz w:val="20"/>
          <w:szCs w:val="20"/>
          <w:rtl w:val="0"/>
        </w:rPr>
        <w:t xml:space="preserve"> </w:t>
      </w:r>
    </w:p>
  </w:footnote>
  <w:footnote w:id="7">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United for the People. (n.d.). United for the People. Retrieved from State &amp; Local Support: </w:t>
      </w:r>
      <w:hyperlink r:id="rId8">
        <w:r w:rsidDel="00000000" w:rsidR="00000000" w:rsidRPr="00000000">
          <w:rPr>
            <w:rFonts w:ascii="Times New Roman" w:cs="Times New Roman" w:eastAsia="Times New Roman" w:hAnsi="Times New Roman"/>
            <w:color w:val="1155cc"/>
            <w:sz w:val="20"/>
            <w:szCs w:val="20"/>
            <w:u w:val="single"/>
            <w:rtl w:val="0"/>
          </w:rPr>
          <w:t xml:space="preserve">https://united4thepeople.org/state-local/</w:t>
        </w:r>
      </w:hyperlink>
      <w:r w:rsidDel="00000000" w:rsidR="00000000" w:rsidRPr="00000000">
        <w:rPr>
          <w:rFonts w:ascii="Times New Roman" w:cs="Times New Roman" w:eastAsia="Times New Roman" w:hAnsi="Times New Roman"/>
          <w:sz w:val="20"/>
          <w:szCs w:val="20"/>
          <w:rtl w:val="0"/>
        </w:rPr>
        <w:t xml:space="preserve"> </w:t>
      </w:r>
    </w:p>
  </w:footnote>
  <w:footnote w:id="8">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People For the American Way. (2015, January 20). On Eve of Fifth Anniversary of Citizens United, Advocates Reach 5 Million Signatures Calling to Overturn Decision. Retrieved from People For the American Way: </w:t>
      </w:r>
      <w:hyperlink r:id="rId9">
        <w:r w:rsidDel="00000000" w:rsidR="00000000" w:rsidRPr="00000000">
          <w:rPr>
            <w:rFonts w:ascii="Times New Roman" w:cs="Times New Roman" w:eastAsia="Times New Roman" w:hAnsi="Times New Roman"/>
            <w:color w:val="1155cc"/>
            <w:sz w:val="20"/>
            <w:szCs w:val="20"/>
            <w:u w:val="single"/>
            <w:rtl w:val="0"/>
          </w:rPr>
          <w:t xml:space="preserve">https://www.pfaw.org/press-releases/on-eve-of-fifth-anniversary-of-citizens-united-advocates-reach-5-million-signatures-calling-to-overturn-decision/</w:t>
        </w:r>
      </w:hyperlink>
      <w:r w:rsidDel="00000000" w:rsidR="00000000" w:rsidRPr="00000000">
        <w:rPr>
          <w:rFonts w:ascii="Times New Roman" w:cs="Times New Roman" w:eastAsia="Times New Roman" w:hAnsi="Times New Roman"/>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center" w:leader="none" w:pos="4320"/>
        <w:tab w:val="right" w:leader="none" w:pos="8640"/>
      </w:tabs>
      <w:spacing w:line="240" w:lineRule="auto"/>
      <w:rPr/>
    </w:pPr>
    <w:r w:rsidDel="00000000" w:rsidR="00000000" w:rsidRPr="00000000">
      <w:rPr>
        <w:rFonts w:ascii="Times New Roman" w:cs="Times New Roman" w:eastAsia="Times New Roman" w:hAnsi="Times New Roman"/>
        <w:sz w:val="24"/>
        <w:szCs w:val="24"/>
      </w:rPr>
      <w:drawing>
        <wp:inline distB="0" distT="0" distL="0" distR="0">
          <wp:extent cx="5934075" cy="1476375"/>
          <wp:effectExtent b="0" l="0" r="0" t="0"/>
          <wp:docPr descr="new penn letterhead update" id="1" name="image1.jpg"/>
          <a:graphic>
            <a:graphicData uri="http://schemas.openxmlformats.org/drawingml/2006/picture">
              <pic:pic>
                <pic:nvPicPr>
                  <pic:cNvPr descr="new penn letterhead update" id="0" name="image1.jpg"/>
                  <pic:cNvPicPr preferRelativeResize="0"/>
                </pic:nvPicPr>
                <pic:blipFill>
                  <a:blip r:embed="rId1"/>
                  <a:srcRect b="0" l="0" r="0" t="0"/>
                  <a:stretch>
                    <a:fillRect/>
                  </a:stretch>
                </pic:blipFill>
                <pic:spPr>
                  <a:xfrm>
                    <a:off x="0" y="0"/>
                    <a:ext cx="5934075" cy="1476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nservancy.umn.edu/bitstream/handle/11299/219523/Transparency%20and%20Campaign%20Spending%20Report%202020.pdf?sequence=1&amp;isAllowed=y" TargetMode="External"/><Relationship Id="rId10" Type="http://schemas.openxmlformats.org/officeDocument/2006/relationships/hyperlink" Target="https://www.opensecrets.org/races/summary?cycle=2022&amp;id=MN06&amp;spec=N" TargetMode="External"/><Relationship Id="rId13" Type="http://schemas.openxmlformats.org/officeDocument/2006/relationships/hyperlink" Target="https://www.bloomberg.com/politics/articles/2015-09-28/bloomberg-poll-americans-want-supreme-court-to-turn-off-political-spending-spigot" TargetMode="External"/><Relationship Id="rId12" Type="http://schemas.openxmlformats.org/officeDocument/2006/relationships/hyperlink" Target="http://www.businessinsider.com/major-study-finds-that-the-us-is-an-oligarchy-2014-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fb.mn.gov/pdf/camfin/contrib_limits_2024.pdf?t=1697068800" TargetMode="External"/><Relationship Id="rId15" Type="http://schemas.openxmlformats.org/officeDocument/2006/relationships/hyperlink" Target="http://www.pfaw.org/press-releases/on-eve-of-fifth-anniversary-of-citizens-united-advocates-reach-5-million-signatures-calling-to-overturn-decision/" TargetMode="External"/><Relationship Id="rId14" Type="http://schemas.openxmlformats.org/officeDocument/2006/relationships/hyperlink" Target="http://united4thepeople.org/state-and-local-support-2/" TargetMode="Externa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infographics.economist.com/2017/DemocracyIndex/" TargetMode="External"/><Relationship Id="rId8" Type="http://schemas.openxmlformats.org/officeDocument/2006/relationships/hyperlink" Target="https://www.eiu.com/n/campaigns/democracy-index-20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mpact.economist.com/perspectives/sites/default/files/The%20EIU%27s%202016%20Democracy%20Index_0.pdf" TargetMode="External"/><Relationship Id="rId2" Type="http://schemas.openxmlformats.org/officeDocument/2006/relationships/hyperlink" Target="https://www.eiu.com/n/campaigns/democracy-index-2022/" TargetMode="External"/><Relationship Id="rId3" Type="http://schemas.openxmlformats.org/officeDocument/2006/relationships/hyperlink" Target="https://cfb.mn.gov/pdf/camfin/contrib_limits_2024.pdf?t=1697068800" TargetMode="External"/><Relationship Id="rId4" Type="http://schemas.openxmlformats.org/officeDocument/2006/relationships/hyperlink" Target="https://www.opensecrets.org/races/summary?cycle=2022&amp;id=MN02&amp;spec=N" TargetMode="External"/><Relationship Id="rId9" Type="http://schemas.openxmlformats.org/officeDocument/2006/relationships/hyperlink" Target="https://www.pfaw.org/press-releases/on-eve-of-fifth-anniversary-of-citizens-united-advocates-reach-5-million-signatures-calling-to-overturn-decision/" TargetMode="External"/><Relationship Id="rId5" Type="http://schemas.openxmlformats.org/officeDocument/2006/relationships/hyperlink" Target="https://conservancy.umn.edu/bitstream/handle/11299/219523/Transparency%20and%20Campaign%20Spending%20Report%202020.pdf?sequence=1&amp;isAllowed=y" TargetMode="External"/><Relationship Id="rId6" Type="http://schemas.openxmlformats.org/officeDocument/2006/relationships/hyperlink" Target="https://www.cambridge.org/core/journals/perspectives-on-politics/article/testing-theories-of-american-politics-elites-interest-groups-and-average-citizens/62327F513959D0A304D4893B382B992B" TargetMode="External"/><Relationship Id="rId7" Type="http://schemas.openxmlformats.org/officeDocument/2006/relationships/hyperlink" Target="https://www.bloomberg.com/politics/articles/2015-09-28/bloomberg-poll-americans-want-supreme-court-to-turn-off-political-spending-spigot?embedded-checkout=true" TargetMode="External"/><Relationship Id="rId8" Type="http://schemas.openxmlformats.org/officeDocument/2006/relationships/hyperlink" Target="https://united4thepeople.org/state-loc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